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Fonts w:ascii="Paris2024" w:cs="Paris2024" w:eastAsia="Paris2024" w:hAnsi="Paris2024"/>
          <w:i w:val="1"/>
          <w:smallCaps w:val="1"/>
          <w:color w:val="262626"/>
          <w:sz w:val="120"/>
          <w:szCs w:val="120"/>
          <w:shd w:fill="e6e6e6" w:val="clear"/>
        </w:rPr>
        <w:drawing>
          <wp:anchor allowOverlap="1" behindDoc="0" distB="0" distT="0" distL="114300" distR="114300" hidden="0" layoutInCell="1" locked="0" relativeHeight="0" simplePos="0">
            <wp:simplePos x="0" y="0"/>
            <wp:positionH relativeFrom="margin">
              <wp:posOffset>-421684</wp:posOffset>
            </wp:positionH>
            <wp:positionV relativeFrom="margin">
              <wp:posOffset>-887089</wp:posOffset>
            </wp:positionV>
            <wp:extent cx="3060065" cy="1562100"/>
            <wp:effectExtent b="0" l="0" r="0" t="0"/>
            <wp:wrapSquare wrapText="bothSides" distB="0" distT="0" distL="114300" distR="114300"/>
            <wp:docPr id="185850065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60065" cy="1562100"/>
                    </a:xfrm>
                    <a:prstGeom prst="rect"/>
                    <a:ln/>
                  </pic:spPr>
                </pic:pic>
              </a:graphicData>
            </a:graphic>
          </wp:anchor>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wp:posOffset>
                </wp:positionH>
                <wp:positionV relativeFrom="paragraph">
                  <wp:posOffset>1130300</wp:posOffset>
                </wp:positionV>
                <wp:extent cx="5926455" cy="2994025"/>
                <wp:effectExtent b="0" l="0" r="0" t="0"/>
                <wp:wrapNone/>
                <wp:docPr id="1858500652" name=""/>
                <a:graphic>
                  <a:graphicData uri="http://schemas.microsoft.com/office/word/2010/wordprocessingShape">
                    <wps:wsp>
                      <wps:cNvSpPr/>
                      <wps:cNvPr id="3" name="Shape 3"/>
                      <wps:spPr>
                        <a:xfrm>
                          <a:off x="2387535" y="2287750"/>
                          <a:ext cx="5916930" cy="2984500"/>
                        </a:xfrm>
                        <a:prstGeom prst="rect">
                          <a:avLst/>
                        </a:prstGeom>
                        <a:noFill/>
                        <a:ln>
                          <a:noFill/>
                        </a:ln>
                      </wps:spPr>
                      <wps:txbx>
                        <w:txbxContent>
                          <w:p w:rsidR="00000000" w:rsidDel="00000000" w:rsidP="00000000" w:rsidRDefault="00000000" w:rsidRPr="00000000">
                            <w:pPr>
                              <w:spacing w:after="120" w:before="0" w:line="215.9999942779541"/>
                              <w:ind w:left="0" w:right="0" w:firstLine="0"/>
                              <w:jc w:val="both"/>
                              <w:textDirection w:val="btLr"/>
                            </w:pPr>
                            <w:r w:rsidDel="00000000" w:rsidR="00000000" w:rsidRPr="00000000">
                              <w:rPr>
                                <w:rFonts w:ascii="Paris2024" w:cs="Paris2024" w:eastAsia="Paris2024" w:hAnsi="Paris2024"/>
                                <w:b w:val="1"/>
                                <w:i w:val="0"/>
                                <w:smallCaps w:val="1"/>
                                <w:strike w:val="0"/>
                                <w:color w:val="000000"/>
                                <w:sz w:val="72"/>
                                <w:vertAlign w:val="baseline"/>
                              </w:rPr>
                              <w:t xml:space="preserve">Cahier des charges</w:t>
                            </w:r>
                          </w:p>
                        </w:txbxContent>
                      </wps:txbx>
                      <wps:bodyPr anchorCtr="0" anchor="b" bIns="45700" lIns="0" spcFirstLastPara="1" rIns="0"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wp:posOffset>
                </wp:positionH>
                <wp:positionV relativeFrom="paragraph">
                  <wp:posOffset>1130300</wp:posOffset>
                </wp:positionV>
                <wp:extent cx="5926455" cy="2994025"/>
                <wp:effectExtent b="0" l="0" r="0" t="0"/>
                <wp:wrapNone/>
                <wp:docPr id="1858500652"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926455" cy="2994025"/>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wp:posOffset>
                </wp:positionH>
                <wp:positionV relativeFrom="paragraph">
                  <wp:posOffset>0</wp:posOffset>
                </wp:positionV>
                <wp:extent cx="6353175" cy="1162685"/>
                <wp:effectExtent b="0" l="0" r="0" t="0"/>
                <wp:wrapNone/>
                <wp:docPr id="1858500654" name=""/>
                <a:graphic>
                  <a:graphicData uri="http://schemas.microsoft.com/office/word/2010/wordprocessingShape">
                    <wps:wsp>
                      <wps:cNvSpPr/>
                      <wps:cNvPr id="5" name="Shape 5"/>
                      <wps:spPr>
                        <a:xfrm>
                          <a:off x="2174175" y="3203420"/>
                          <a:ext cx="6343650" cy="1153160"/>
                        </a:xfrm>
                        <a:prstGeom prst="rect">
                          <a:avLst/>
                        </a:prstGeom>
                        <a:noFill/>
                        <a:ln>
                          <a:noFill/>
                        </a:ln>
                      </wps:spPr>
                      <wps:txbx>
                        <w:txbxContent>
                          <w:p w:rsidR="00000000" w:rsidDel="00000000" w:rsidP="00000000" w:rsidRDefault="00000000" w:rsidRPr="00000000">
                            <w:pPr>
                              <w:spacing w:after="120" w:before="240" w:line="215.9999942779541"/>
                              <w:ind w:left="0" w:right="0" w:firstLine="0"/>
                              <w:jc w:val="both"/>
                              <w:textDirection w:val="btLr"/>
                            </w:pPr>
                            <w:r w:rsidDel="00000000" w:rsidR="00000000" w:rsidRPr="00000000">
                              <w:rPr>
                                <w:rFonts w:ascii="Paris2024" w:cs="Paris2024" w:eastAsia="Paris2024" w:hAnsi="Paris2024"/>
                                <w:b w:val="1"/>
                                <w:i w:val="0"/>
                                <w:smallCaps w:val="0"/>
                                <w:strike w:val="0"/>
                                <w:color w:val="d6c377"/>
                                <w:sz w:val="48"/>
                                <w:vertAlign w:val="baseline"/>
                              </w:rPr>
                              <w:t xml:space="preserve">Restauration Cérémonie d'Ouverture - Quai Bas (CER/SEI)</w:t>
                            </w:r>
                          </w:p>
                          <w:p w:rsidR="00000000" w:rsidDel="00000000" w:rsidP="00000000" w:rsidRDefault="00000000" w:rsidRPr="00000000">
                            <w:pPr>
                              <w:spacing w:after="120" w:before="240" w:line="215.9999942779541"/>
                              <w:ind w:left="0" w:right="0" w:firstLine="0"/>
                              <w:jc w:val="both"/>
                              <w:textDirection w:val="btLr"/>
                            </w:pPr>
                            <w:r w:rsidDel="00000000" w:rsidR="00000000" w:rsidRPr="00000000">
                              <w:rPr>
                                <w:rFonts w:ascii="Paris2024" w:cs="Paris2024" w:eastAsia="Paris2024" w:hAnsi="Paris2024"/>
                                <w:b w:val="1"/>
                                <w:i w:val="0"/>
                                <w:smallCaps w:val="0"/>
                                <w:strike w:val="0"/>
                                <w:color w:val="d6c377"/>
                                <w:sz w:val="48"/>
                                <w:vertAlign w:val="baseline"/>
                              </w:rPr>
                            </w:r>
                          </w:p>
                        </w:txbxContent>
                      </wps:txbx>
                      <wps:bodyPr anchorCtr="0" anchor="t" bIns="45700" lIns="0" spcFirstLastPara="1" rIns="0"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wp:posOffset>
                </wp:positionH>
                <wp:positionV relativeFrom="paragraph">
                  <wp:posOffset>0</wp:posOffset>
                </wp:positionV>
                <wp:extent cx="6353175" cy="1162685"/>
                <wp:effectExtent b="0" l="0" r="0" t="0"/>
                <wp:wrapNone/>
                <wp:docPr id="1858500654"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6353175" cy="1162685"/>
                        </a:xfrm>
                        <a:prstGeom prst="rect"/>
                        <a:ln/>
                      </pic:spPr>
                    </pic:pic>
                  </a:graphicData>
                </a:graphic>
              </wp:anchor>
            </w:drawing>
          </mc:Fallback>
        </mc:AlternateContent>
      </w:r>
    </w:p>
    <w:p w:rsidR="00000000" w:rsidDel="00000000" w:rsidP="00000000" w:rsidRDefault="00000000" w:rsidRPr="00000000" w14:paraId="00000010">
      <w:pPr>
        <w:spacing w:after="0"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Black" w:cs="Arial Black" w:eastAsia="Arial Black" w:hAnsi="Arial Black"/>
          <w:b w:val="1"/>
          <w:i w:val="0"/>
          <w:smallCaps w:val="1"/>
          <w:strike w:val="0"/>
          <w:color w:val="006aff"/>
          <w:sz w:val="28"/>
          <w:szCs w:val="28"/>
          <w:u w:val="none"/>
          <w:shd w:fill="auto" w:val="clear"/>
          <w:vertAlign w:val="baseline"/>
        </w:rPr>
      </w:pPr>
      <w:r w:rsidDel="00000000" w:rsidR="00000000" w:rsidRPr="00000000">
        <w:rPr>
          <w:rFonts w:ascii="Arial Black" w:cs="Arial Black" w:eastAsia="Arial Black" w:hAnsi="Arial Black"/>
          <w:b w:val="1"/>
          <w:i w:val="0"/>
          <w:smallCaps w:val="1"/>
          <w:strike w:val="0"/>
          <w:color w:val="006aff"/>
          <w:sz w:val="28"/>
          <w:szCs w:val="28"/>
          <w:u w:val="none"/>
          <w:shd w:fill="auto" w:val="clear"/>
          <w:vertAlign w:val="baseline"/>
          <w:rtl w:val="0"/>
        </w:rPr>
        <w:t xml:space="preserve">Table des matières</w:t>
      </w:r>
    </w:p>
    <w:sdt>
      <w:sdtPr>
        <w:docPartObj>
          <w:docPartGallery w:val="Table of Contents"/>
          <w:docPartUnique w:val="1"/>
        </w:docPartObj>
      </w:sdtPr>
      <w:sdtContent>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0"/>
              <w:tab w:val="right" w:leader="none" w:pos="9735"/>
            </w:tabs>
            <w:spacing w:after="120" w:before="120" w:line="288" w:lineRule="auto"/>
            <w:ind w:left="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rFonts w:ascii="Source Sans Pro Light" w:cs="Source Sans Pro Light" w:eastAsia="Source Sans Pro Light" w:hAnsi="Source Sans Pro Light"/>
                <w:b w:val="1"/>
                <w:i w:val="0"/>
                <w:smallCaps w:val="1"/>
                <w:strike w:val="0"/>
                <w:color w:val="000000"/>
                <w:sz w:val="20"/>
                <w:szCs w:val="20"/>
                <w:u w:val="none"/>
                <w:shd w:fill="auto" w:val="clear"/>
                <w:vertAlign w:val="baseline"/>
                <w:rtl w:val="0"/>
              </w:rPr>
              <w:t xml:space="preserve">GLOSSAIRE</w:t>
              <w:tab/>
              <w:t xml:space="preserve">3</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0"/>
              <w:tab w:val="right" w:leader="none" w:pos="9735"/>
            </w:tabs>
            <w:spacing w:after="120" w:before="120" w:line="288" w:lineRule="auto"/>
            <w:ind w:left="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0j0zll">
            <w:r w:rsidDel="00000000" w:rsidR="00000000" w:rsidRPr="00000000">
              <w:rPr>
                <w:rFonts w:ascii="Source Sans Pro Light" w:cs="Source Sans Pro Light" w:eastAsia="Source Sans Pro Light" w:hAnsi="Source Sans Pro Light"/>
                <w:b w:val="1"/>
                <w:i w:val="0"/>
                <w:smallCaps w:val="1"/>
                <w:strike w:val="0"/>
                <w:color w:val="000000"/>
                <w:sz w:val="20"/>
                <w:szCs w:val="20"/>
                <w:u w:val="none"/>
                <w:shd w:fill="auto" w:val="clear"/>
                <w:vertAlign w:val="baseline"/>
                <w:rtl w:val="0"/>
              </w:rPr>
              <w:t xml:space="preserve">1.</w:t>
            </w:r>
          </w:hyperlink>
          <w:hyperlink w:anchor="_heading=h.30j0zll">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Source Sans Pro Light" w:cs="Source Sans Pro Light" w:eastAsia="Source Sans Pro Light" w:hAnsi="Source Sans Pro Light"/>
              <w:b w:val="1"/>
              <w:i w:val="0"/>
              <w:smallCaps w:val="1"/>
              <w:strike w:val="0"/>
              <w:color w:val="000000"/>
              <w:sz w:val="20"/>
              <w:szCs w:val="20"/>
              <w:u w:val="none"/>
              <w:shd w:fill="auto" w:val="clear"/>
              <w:vertAlign w:val="baseline"/>
              <w:rtl w:val="0"/>
            </w:rPr>
            <w:t xml:space="preserve">Contexte</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0"/>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1fob9te">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1.1</w:t>
            </w:r>
          </w:hyperlink>
          <w:hyperlink w:anchor="_heading=h.1fob9te">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_heading=h.1fob9te \h </w:instrText>
            <w:fldChar w:fldCharType="separate"/>
          </w:r>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Contexte et enjeux</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0"/>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znysh7">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1.2</w:t>
            </w:r>
          </w:hyperlink>
          <w:hyperlink w:anchor="_heading=h.3znysh7">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La Vision de Paris 2024</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0"/>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et92p0">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1.3</w:t>
            </w:r>
          </w:hyperlink>
          <w:hyperlink w:anchor="_heading=h.2et92p0">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La Nouvelle Norme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0"/>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tyjcwt">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1.4</w:t>
            </w:r>
          </w:hyperlink>
          <w:hyperlink w:anchor="_heading=h.tyjcwt">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La Stratégie Héritage et Durabilité</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0"/>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dy6vkm">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1.5</w:t>
            </w:r>
          </w:hyperlink>
          <w:hyperlink w:anchor="_heading=h.3dy6vkm">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L’ambition d’Excellence Environnementale</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50"/>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1t3h5sf">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1.5.1</w:t>
            </w:r>
          </w:hyperlink>
          <w:hyperlink w:anchor="_heading=h.1t3h5sf">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_heading=h.1t3h5sf \h </w:instrText>
            <w:fldChar w:fldCharType="separate"/>
          </w:r>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Des Jeux neutres en carbone</w:t>
          </w:r>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50"/>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4d34og8">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1.5.2</w:t>
            </w:r>
          </w:hyperlink>
          <w:hyperlink w:anchor="_heading=h.4d34og8">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Des Jeux exemplaires et innovants</w:t>
          </w:r>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50"/>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s8eyo1">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1.5.3</w:t>
            </w:r>
          </w:hyperlink>
          <w:hyperlink w:anchor="_heading=h.2s8eyo1">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_heading=h.2s8eyo1 \h </w:instrText>
            <w:fldChar w:fldCharType="separate"/>
          </w:r>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Des Jeux comme accélérateurs de la transition écologique</w:t>
          </w:r>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0"/>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17dp8vu">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1.6</w:t>
            </w:r>
          </w:hyperlink>
          <w:hyperlink w:anchor="_heading=h.17dp8vu">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La Vision pour la restauration de Paris 2024</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0"/>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6in1rg">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1.7</w:t>
            </w:r>
          </w:hyperlink>
          <w:hyperlink w:anchor="_heading=h.26in1rg">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Acteurs des jeux</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50"/>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lnxbz9">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1.7.1</w:t>
            </w:r>
          </w:hyperlink>
          <w:hyperlink w:anchor="_heading=h.lnxbz9">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Paris 2024</w:t>
          </w:r>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50"/>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5nkun2">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1.7.2</w:t>
            </w:r>
          </w:hyperlink>
          <w:hyperlink w:anchor="_heading=h.35nkun2">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Les parties prenantes</w:t>
          </w:r>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50"/>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4i7ojhp">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1.7.3</w:t>
            </w:r>
          </w:hyperlink>
          <w:hyperlink w:anchor="_heading=h.4i7ojhp">
            <w:r w:rsidDel="00000000" w:rsidR="00000000" w:rsidRPr="00000000">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Les Clients des Jeux</w:t>
          </w:r>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0"/>
              <w:tab w:val="right" w:leader="none" w:pos="9735"/>
            </w:tabs>
            <w:spacing w:after="120" w:before="120" w:line="288" w:lineRule="auto"/>
            <w:ind w:left="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147n2zr">
            <w:r w:rsidDel="00000000" w:rsidR="00000000" w:rsidRPr="00000000">
              <w:rPr>
                <w:rFonts w:ascii="Source Sans Pro Light" w:cs="Source Sans Pro Light" w:eastAsia="Source Sans Pro Light" w:hAnsi="Source Sans Pro Light"/>
                <w:b w:val="1"/>
                <w:i w:val="0"/>
                <w:smallCaps w:val="1"/>
                <w:strike w:val="0"/>
                <w:color w:val="000000"/>
                <w:sz w:val="20"/>
                <w:szCs w:val="20"/>
                <w:u w:val="none"/>
                <w:shd w:fill="auto" w:val="clear"/>
                <w:vertAlign w:val="baseline"/>
                <w:rtl w:val="0"/>
              </w:rPr>
              <w:t xml:space="preserve">2. La cérémonie d'ouverture des Jeux Olympiques</w:t>
              <w:tab/>
              <w:t xml:space="preserve">19</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o7alnk">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2.1 Plan d’implantation de la cérémonie</w:t>
              <w:tab/>
              <w:t xml:space="preserve">20</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3ckvvd">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2.2 Description des espaces de restauration</w:t>
              <w:tab/>
              <w:t xml:space="preserve">20</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0"/>
              <w:tab w:val="right" w:leader="none" w:pos="9735"/>
            </w:tabs>
            <w:spacing w:after="120" w:before="120" w:line="288" w:lineRule="auto"/>
            <w:ind w:left="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ihv636">
            <w:r w:rsidDel="00000000" w:rsidR="00000000" w:rsidRPr="00000000">
              <w:rPr>
                <w:rFonts w:ascii="Source Sans Pro Light" w:cs="Source Sans Pro Light" w:eastAsia="Source Sans Pro Light" w:hAnsi="Source Sans Pro Light"/>
                <w:b w:val="1"/>
                <w:i w:val="0"/>
                <w:smallCaps w:val="1"/>
                <w:strike w:val="0"/>
                <w:color w:val="000000"/>
                <w:sz w:val="20"/>
                <w:szCs w:val="20"/>
                <w:u w:val="none"/>
                <w:shd w:fill="auto" w:val="clear"/>
                <w:vertAlign w:val="baseline"/>
                <w:rtl w:val="0"/>
              </w:rPr>
              <w:t xml:space="preserve">3. Le périmètre de l’Appel d’offres</w:t>
              <w:tab/>
              <w:t xml:space="preserve">21</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2hioqz">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3.1 La mission du Candidat retenu</w:t>
              <w:tab/>
              <w:t xml:space="preserve">21</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1hmsyys">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3.2 Les exigences générales de la mission</w:t>
              <w:tab/>
              <w:t xml:space="preserve">21</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41mghml">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3.3 VENTES AMBULANTES</w:t>
              <w:tab/>
              <w:t xml:space="preserve">23</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grqrue">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3.4 Les exclusions de la mission</w:t>
              <w:tab/>
              <w:t xml:space="preserve">23</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0"/>
              <w:tab w:val="right" w:leader="none" w:pos="9735"/>
            </w:tabs>
            <w:spacing w:after="120" w:before="120" w:line="288" w:lineRule="auto"/>
            <w:ind w:left="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vx1227">
            <w:r w:rsidDel="00000000" w:rsidR="00000000" w:rsidRPr="00000000">
              <w:rPr>
                <w:rFonts w:ascii="Source Sans Pro Light" w:cs="Source Sans Pro Light" w:eastAsia="Source Sans Pro Light" w:hAnsi="Source Sans Pro Light"/>
                <w:b w:val="1"/>
                <w:i w:val="0"/>
                <w:smallCaps w:val="1"/>
                <w:strike w:val="0"/>
                <w:color w:val="000000"/>
                <w:sz w:val="20"/>
                <w:szCs w:val="20"/>
                <w:u w:val="none"/>
                <w:shd w:fill="auto" w:val="clear"/>
                <w:vertAlign w:val="baseline"/>
                <w:rtl w:val="0"/>
              </w:rPr>
              <w:t xml:space="preserve">4. Les niveaux de service</w:t>
              <w:tab/>
              <w:t xml:space="preserve">24</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fwokq0">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4.1 La qualité de l’offre alimentaire</w:t>
              <w:tab/>
              <w:t xml:space="preserve">24</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1v1yuxt">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4.2 La qualité de service</w:t>
              <w:tab/>
              <w:t xml:space="preserve">24</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4f1mdlm">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4.3 L’accessibilité</w:t>
              <w:tab/>
              <w:t xml:space="preserve">24</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u6wntf">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4.4 L’hygiène alimentaire</w:t>
              <w:tab/>
              <w:t xml:space="preserve">25</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19c6y18">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4.5 L’affichage et la communication</w:t>
              <w:tab/>
              <w:t xml:space="preserve">25</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tbugp1">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4.6 Le personnel et les uniformes</w:t>
              <w:tab/>
              <w:t xml:space="preserve">25</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0"/>
              <w:tab w:val="right" w:leader="none" w:pos="9735"/>
            </w:tabs>
            <w:spacing w:after="120" w:before="120" w:line="288" w:lineRule="auto"/>
            <w:ind w:left="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8h4qwu">
            <w:r w:rsidDel="00000000" w:rsidR="00000000" w:rsidRPr="00000000">
              <w:rPr>
                <w:rFonts w:ascii="Source Sans Pro Light" w:cs="Source Sans Pro Light" w:eastAsia="Source Sans Pro Light" w:hAnsi="Source Sans Pro Light"/>
                <w:b w:val="1"/>
                <w:i w:val="0"/>
                <w:smallCaps w:val="1"/>
                <w:strike w:val="0"/>
                <w:color w:val="000000"/>
                <w:sz w:val="20"/>
                <w:szCs w:val="20"/>
                <w:u w:val="none"/>
                <w:shd w:fill="auto" w:val="clear"/>
                <w:vertAlign w:val="baseline"/>
                <w:rtl w:val="0"/>
              </w:rPr>
              <w:t xml:space="preserve">5. Les exigences liées aux programmes</w:t>
              <w:tab/>
              <w:t xml:space="preserve">26</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nmf14n">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5.1 Les exigences de conception</w:t>
              <w:tab/>
              <w:t xml:space="preserve">26</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7m2jsg">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5.2 L’électricité</w:t>
              <w:tab/>
              <w:t xml:space="preserve">26</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1mrcu09">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5.3 La validation des menus et des prix de vente</w:t>
              <w:tab/>
              <w:t xml:space="preserve">27</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46r0co2">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5.4 Les Partenaires Marketing et leur impact</w:t>
              <w:tab/>
              <w:t xml:space="preserve">28</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lwamvv">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5.5 Clean VENUE</w:t>
              <w:tab/>
              <w:t xml:space="preserve">29</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111kx3o">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5.6 L’événement test</w:t>
              <w:tab/>
              <w:t xml:space="preserve">30</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l18frh">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5.7 Le tri des déchets</w:t>
              <w:tab/>
              <w:t xml:space="preserve">31</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4k668n3">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5.7.1 La répartition des rôles du tri des déchets</w:t>
            </w:r>
          </w:hyperlink>
          <w:hyperlink w:anchor="_heading=h.4k668n3">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zbgiuw">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5.7.2 Les programmes contre le gaspillage alimentaire</w:t>
            </w:r>
          </w:hyperlink>
          <w:hyperlink w:anchor="_heading=h.2zbgiuw">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1egqt2p">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5.7.3 Le sourcing des consommables</w:t>
            </w:r>
          </w:hyperlink>
          <w:hyperlink w:anchor="_heading=h.1egqt2p">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ygebqi">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5.8 Le nettoyage</w:t>
              <w:tab/>
              <w:t xml:space="preserve">32</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0"/>
              <w:tab w:val="right" w:leader="none" w:pos="9735"/>
            </w:tabs>
            <w:spacing w:after="120" w:before="120" w:line="288" w:lineRule="auto"/>
            <w:ind w:left="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dlolyb">
            <w:r w:rsidDel="00000000" w:rsidR="00000000" w:rsidRPr="00000000">
              <w:rPr>
                <w:rFonts w:ascii="Source Sans Pro Light" w:cs="Source Sans Pro Light" w:eastAsia="Source Sans Pro Light" w:hAnsi="Source Sans Pro Light"/>
                <w:b w:val="1"/>
                <w:i w:val="0"/>
                <w:smallCaps w:val="1"/>
                <w:strike w:val="0"/>
                <w:color w:val="000000"/>
                <w:sz w:val="20"/>
                <w:szCs w:val="20"/>
                <w:u w:val="none"/>
                <w:shd w:fill="auto" w:val="clear"/>
                <w:vertAlign w:val="baseline"/>
                <w:rtl w:val="0"/>
              </w:rPr>
              <w:t xml:space="preserve">6. L’organisation opérationnelle</w:t>
              <w:tab/>
              <w:t xml:space="preserve">34</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sqyw64">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6.1 Le staffing</w:t>
              <w:tab/>
              <w:t xml:space="preserve">34</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cqmetx">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6.2 L’accès au Site</w:t>
              <w:tab/>
              <w:t xml:space="preserve">35</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r0uhxc">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6.3 Les livraisons</w:t>
              <w:tab/>
              <w:t xml:space="preserve">36</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q5sasy">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6.3.1. La ponctualité des livraisons</w:t>
            </w:r>
          </w:hyperlink>
          <w:hyperlink w:anchor="_heading=h.3q5sasy">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5b2l0r">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6.3.2. La sécurité des livraisons</w:t>
            </w:r>
          </w:hyperlink>
          <w:hyperlink w:anchor="_heading=h.25b2l0r">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kgcv8k">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6.4 L’organisation sur site</w:t>
              <w:tab/>
              <w:t xml:space="preserve">38</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4g0dwd">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6.4.1 Transport</w:t>
            </w:r>
          </w:hyperlink>
          <w:hyperlink w:anchor="_heading=h.34g0dwd">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1jlao46">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6.4.2 Hébergement</w:t>
            </w:r>
          </w:hyperlink>
          <w:hyperlink w:anchor="_heading=h.1jlao46">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43ky6rz">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6.4.3 Code de conduite</w:t>
            </w:r>
          </w:hyperlink>
          <w:hyperlink w:anchor="_heading=h.43ky6rz">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iq8gzs">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6.4.4 Uniforme</w:t>
            </w:r>
          </w:hyperlink>
          <w:hyperlink w:anchor="_heading=h.2iq8gzs">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42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xvir7l">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6.4.5 Recrutement et formation</w:t>
            </w:r>
          </w:hyperlink>
          <w:hyperlink w:anchor="_heading=h.xvir7l">
            <w:r w:rsidDel="00000000" w:rsidR="00000000" w:rsidRPr="00000000">
              <w:rPr>
                <w:rFonts w:ascii="Source Sans Pro Light" w:cs="Source Sans Pro Light" w:eastAsia="Source Sans Pro Light" w:hAnsi="Source Sans Pro Light"/>
                <w:b w:val="0"/>
                <w:i w:val="1"/>
                <w:smallCaps w:val="0"/>
                <w:strike w:val="0"/>
                <w:color w:val="000000"/>
                <w:sz w:val="20"/>
                <w:szCs w:val="20"/>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0"/>
              <w:tab w:val="right" w:leader="none" w:pos="9735"/>
            </w:tabs>
            <w:spacing w:after="120" w:before="120" w:line="288" w:lineRule="auto"/>
            <w:ind w:left="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hv69ve">
            <w:r w:rsidDel="00000000" w:rsidR="00000000" w:rsidRPr="00000000">
              <w:rPr>
                <w:rFonts w:ascii="Source Sans Pro Light" w:cs="Source Sans Pro Light" w:eastAsia="Source Sans Pro Light" w:hAnsi="Source Sans Pro Light"/>
                <w:b w:val="1"/>
                <w:i w:val="0"/>
                <w:smallCaps w:val="1"/>
                <w:strike w:val="0"/>
                <w:color w:val="000000"/>
                <w:sz w:val="20"/>
                <w:szCs w:val="20"/>
                <w:u w:val="none"/>
                <w:shd w:fill="auto" w:val="clear"/>
                <w:vertAlign w:val="baseline"/>
                <w:rtl w:val="0"/>
              </w:rPr>
              <w:t xml:space="preserve">7.  La proposition commerciale</w:t>
              <w:tab/>
              <w:t xml:space="preserve">40</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1x0gk37">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7.1 Le modèle commercial</w:t>
              <w:tab/>
              <w:t xml:space="preserve">40</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w5ecyt">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7.2 La transparence des opérations</w:t>
              <w:tab/>
              <w:t xml:space="preserve">40</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1baon6m">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7.3 Les échéances et livrables clé</w:t>
              <w:tab/>
              <w:t xml:space="preserve">41</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36"/>
            </w:tabs>
            <w:spacing w:after="0" w:before="0" w:line="288" w:lineRule="auto"/>
            <w:ind w:left="21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3vac5uf">
            <w:r w:rsidDel="00000000" w:rsidR="00000000" w:rsidRPr="00000000">
              <w:rPr>
                <w:rFonts w:ascii="Source Sans Pro Light" w:cs="Source Sans Pro Light" w:eastAsia="Source Sans Pro Light" w:hAnsi="Source Sans Pro Light"/>
                <w:b w:val="0"/>
                <w:i w:val="0"/>
                <w:smallCaps w:val="1"/>
                <w:strike w:val="0"/>
                <w:color w:val="000000"/>
                <w:sz w:val="20"/>
                <w:szCs w:val="20"/>
                <w:u w:val="none"/>
                <w:shd w:fill="auto" w:val="clear"/>
                <w:vertAlign w:val="baseline"/>
                <w:rtl w:val="0"/>
              </w:rPr>
              <w:t xml:space="preserve">7.4 Le suivi de la fréquentation</w:t>
              <w:tab/>
              <w:t xml:space="preserve">42</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0"/>
              <w:tab w:val="right" w:leader="none" w:pos="9735"/>
            </w:tabs>
            <w:spacing w:after="120" w:before="120" w:line="288" w:lineRule="auto"/>
            <w:ind w:left="0" w:right="0" w:firstLine="0"/>
            <w:jc w:val="left"/>
            <w:rPr>
              <w:rFonts w:ascii="Source Sans Pro Light" w:cs="Source Sans Pro Light" w:eastAsia="Source Sans Pro Light" w:hAnsi="Source Sans Pro Light"/>
              <w:b w:val="0"/>
              <w:i w:val="0"/>
              <w:smallCaps w:val="0"/>
              <w:strike w:val="0"/>
              <w:color w:val="000000"/>
              <w:sz w:val="22"/>
              <w:szCs w:val="22"/>
              <w:u w:val="none"/>
              <w:shd w:fill="auto" w:val="clear"/>
              <w:vertAlign w:val="baseline"/>
            </w:rPr>
          </w:pPr>
          <w:hyperlink w:anchor="_heading=h.2afmg28">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8. ANNEXES</w:t>
            </w:r>
          </w:hyperlink>
          <w:hyperlink w:anchor="_heading=h.2afmg28">
            <w:r w:rsidDel="00000000" w:rsidR="00000000" w:rsidRPr="00000000">
              <w:rPr>
                <w:rFonts w:ascii="Source Sans Pro Light" w:cs="Source Sans Pro Light" w:eastAsia="Source Sans Pro Light" w:hAnsi="Source Sans Pro Light"/>
                <w:b w:val="1"/>
                <w:i w:val="0"/>
                <w:smallCaps w:val="1"/>
                <w:strike w:val="0"/>
                <w:color w:val="000000"/>
                <w:sz w:val="20"/>
                <w:szCs w:val="20"/>
                <w:u w:val="none"/>
                <w:shd w:fill="auto" w:val="clear"/>
                <w:vertAlign w:val="baseline"/>
                <w:rtl w:val="0"/>
              </w:rPr>
              <w:tab/>
              <w:t xml:space="preserve">43</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0"/>
              <w:tab w:val="right" w:leader="none" w:pos="9735"/>
            </w:tabs>
            <w:spacing w:after="120" w:before="120" w:line="288" w:lineRule="auto"/>
            <w:ind w:left="0" w:right="0" w:firstLine="0"/>
            <w:jc w:val="left"/>
            <w:rPr>
              <w:rFonts w:ascii="Source Sans Pro Light" w:cs="Source Sans Pro Light" w:eastAsia="Source Sans Pro Light" w:hAnsi="Source Sans Pro Light"/>
              <w:b w:val="1"/>
              <w:i w:val="0"/>
              <w:smallCaps w:val="1"/>
              <w:strike w:val="0"/>
              <w:color w:val="f9b900"/>
              <w:sz w:val="20"/>
              <w:szCs w:val="20"/>
              <w:u w:val="singl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spacing w:after="0"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54">
      <w:pPr>
        <w:pStyle w:val="Heading1"/>
        <w:rPr/>
      </w:pPr>
      <w:bookmarkStart w:colFirst="0" w:colLast="0" w:name="_heading=h.gjdgxs" w:id="0"/>
      <w:bookmarkEnd w:id="0"/>
      <w:r w:rsidDel="00000000" w:rsidR="00000000" w:rsidRPr="00000000">
        <w:rPr>
          <w:rtl w:val="0"/>
        </w:rPr>
        <w:t xml:space="preserve">GLOSSAIRE</w:t>
      </w:r>
    </w:p>
    <w:p w:rsidR="00000000" w:rsidDel="00000000" w:rsidP="00000000" w:rsidRDefault="00000000" w:rsidRPr="00000000" w14:paraId="00000055">
      <w:pPr>
        <w:rPr/>
      </w:pPr>
      <w:r w:rsidDel="00000000" w:rsidR="00000000" w:rsidRPr="00000000">
        <w:rPr>
          <w:rtl w:val="0"/>
        </w:rPr>
        <w:t xml:space="preserve">Les termes standards dans le Cahier des Charges sont définis comme suit : </w:t>
      </w:r>
    </w:p>
    <w:tbl>
      <w:tblPr>
        <w:tblStyle w:val="Table1"/>
        <w:tblW w:w="976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980"/>
        <w:gridCol w:w="1134"/>
        <w:gridCol w:w="6652"/>
        <w:tblGridChange w:id="0">
          <w:tblGrid>
            <w:gridCol w:w="1980"/>
            <w:gridCol w:w="1134"/>
            <w:gridCol w:w="6652"/>
          </w:tblGrid>
        </w:tblGridChange>
      </w:tblGrid>
      <w:tr>
        <w:trPr>
          <w:cantSplit w:val="0"/>
          <w:trHeight w:val="96" w:hRule="atLeast"/>
          <w:tblHeader w:val="0"/>
        </w:trPr>
        <w:tc>
          <w:tcPr/>
          <w:p w:rsidR="00000000" w:rsidDel="00000000" w:rsidP="00000000" w:rsidRDefault="00000000" w:rsidRPr="00000000" w14:paraId="00000056">
            <w:pPr>
              <w:spacing w:after="0" w:lineRule="auto"/>
              <w:rPr>
                <w:sz w:val="18"/>
                <w:szCs w:val="18"/>
              </w:rPr>
            </w:pPr>
            <w:r w:rsidDel="00000000" w:rsidR="00000000" w:rsidRPr="00000000">
              <w:rPr>
                <w:sz w:val="18"/>
                <w:szCs w:val="18"/>
                <w:rtl w:val="0"/>
              </w:rPr>
              <w:t xml:space="preserve">Terme</w:t>
            </w:r>
          </w:p>
        </w:tc>
        <w:tc>
          <w:tcPr/>
          <w:p w:rsidR="00000000" w:rsidDel="00000000" w:rsidP="00000000" w:rsidRDefault="00000000" w:rsidRPr="00000000" w14:paraId="00000057">
            <w:pPr>
              <w:spacing w:after="0" w:lineRule="auto"/>
              <w:jc w:val="center"/>
              <w:rPr>
                <w:sz w:val="18"/>
                <w:szCs w:val="18"/>
              </w:rPr>
            </w:pPr>
            <w:r w:rsidDel="00000000" w:rsidR="00000000" w:rsidRPr="00000000">
              <w:rPr>
                <w:sz w:val="18"/>
                <w:szCs w:val="18"/>
                <w:rtl w:val="0"/>
              </w:rPr>
              <w:t xml:space="preserve">Acronyme</w:t>
            </w:r>
          </w:p>
        </w:tc>
        <w:tc>
          <w:tcPr/>
          <w:p w:rsidR="00000000" w:rsidDel="00000000" w:rsidP="00000000" w:rsidRDefault="00000000" w:rsidRPr="00000000" w14:paraId="00000058">
            <w:pPr>
              <w:spacing w:after="0" w:lineRule="auto"/>
              <w:rPr>
                <w:sz w:val="18"/>
                <w:szCs w:val="18"/>
              </w:rPr>
            </w:pPr>
            <w:r w:rsidDel="00000000" w:rsidR="00000000" w:rsidRPr="00000000">
              <w:rPr>
                <w:sz w:val="18"/>
                <w:szCs w:val="18"/>
                <w:rtl w:val="0"/>
              </w:rPr>
              <w:t xml:space="preserve">Définition</w:t>
            </w:r>
          </w:p>
        </w:tc>
      </w:tr>
      <w:tr>
        <w:trPr>
          <w:cantSplit w:val="0"/>
          <w:trHeight w:val="199" w:hRule="atLeast"/>
          <w:tblHeader w:val="0"/>
        </w:trPr>
        <w:tc>
          <w:tcPr/>
          <w:p w:rsidR="00000000" w:rsidDel="00000000" w:rsidP="00000000" w:rsidRDefault="00000000" w:rsidRPr="00000000" w14:paraId="00000059">
            <w:pPr>
              <w:spacing w:after="0" w:lineRule="auto"/>
              <w:jc w:val="left"/>
              <w:rPr>
                <w:b w:val="0"/>
                <w:sz w:val="18"/>
                <w:szCs w:val="18"/>
              </w:rPr>
            </w:pPr>
            <w:r w:rsidDel="00000000" w:rsidR="00000000" w:rsidRPr="00000000">
              <w:rPr>
                <w:b w:val="0"/>
                <w:sz w:val="18"/>
                <w:szCs w:val="18"/>
                <w:rtl w:val="0"/>
              </w:rPr>
              <w:t xml:space="preserve">Back-of-House</w:t>
            </w:r>
          </w:p>
        </w:tc>
        <w:tc>
          <w:tcPr/>
          <w:p w:rsidR="00000000" w:rsidDel="00000000" w:rsidP="00000000" w:rsidRDefault="00000000" w:rsidRPr="00000000" w14:paraId="0000005A">
            <w:pPr>
              <w:spacing w:after="0" w:lineRule="auto"/>
              <w:jc w:val="center"/>
              <w:rPr>
                <w:sz w:val="18"/>
                <w:szCs w:val="18"/>
              </w:rPr>
            </w:pPr>
            <w:r w:rsidDel="00000000" w:rsidR="00000000" w:rsidRPr="00000000">
              <w:rPr>
                <w:sz w:val="18"/>
                <w:szCs w:val="18"/>
                <w:rtl w:val="0"/>
              </w:rPr>
              <w:t xml:space="preserve">BOH</w:t>
            </w:r>
          </w:p>
        </w:tc>
        <w:tc>
          <w:tcPr/>
          <w:p w:rsidR="00000000" w:rsidDel="00000000" w:rsidP="00000000" w:rsidRDefault="00000000" w:rsidRPr="00000000" w14:paraId="0000005B">
            <w:pPr>
              <w:spacing w:after="0" w:lineRule="auto"/>
              <w:rPr>
                <w:sz w:val="18"/>
                <w:szCs w:val="18"/>
              </w:rPr>
            </w:pPr>
            <w:r w:rsidDel="00000000" w:rsidR="00000000" w:rsidRPr="00000000">
              <w:rPr>
                <w:sz w:val="18"/>
                <w:szCs w:val="18"/>
                <w:rtl w:val="0"/>
              </w:rPr>
              <w:t xml:space="preserve">Zones techniques (cuisines, offices, laboratoire, stockage, chargement / déchargement…).</w:t>
            </w:r>
          </w:p>
        </w:tc>
      </w:tr>
      <w:tr>
        <w:trPr>
          <w:cantSplit w:val="0"/>
          <w:trHeight w:val="194" w:hRule="atLeast"/>
          <w:tblHeader w:val="0"/>
        </w:trPr>
        <w:tc>
          <w:tcPr/>
          <w:p w:rsidR="00000000" w:rsidDel="00000000" w:rsidP="00000000" w:rsidRDefault="00000000" w:rsidRPr="00000000" w14:paraId="0000005C">
            <w:pPr>
              <w:spacing w:after="0" w:lineRule="auto"/>
              <w:jc w:val="left"/>
              <w:rPr>
                <w:b w:val="0"/>
                <w:sz w:val="18"/>
                <w:szCs w:val="18"/>
              </w:rPr>
            </w:pPr>
            <w:r w:rsidDel="00000000" w:rsidR="00000000" w:rsidRPr="00000000">
              <w:rPr>
                <w:b w:val="0"/>
                <w:sz w:val="18"/>
                <w:szCs w:val="18"/>
                <w:rtl w:val="0"/>
              </w:rPr>
              <w:t xml:space="preserve">Candidat </w:t>
            </w:r>
          </w:p>
        </w:tc>
        <w:tc>
          <w:tcPr/>
          <w:p w:rsidR="00000000" w:rsidDel="00000000" w:rsidP="00000000" w:rsidRDefault="00000000" w:rsidRPr="00000000" w14:paraId="0000005D">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5E">
            <w:pPr>
              <w:spacing w:after="0" w:lineRule="auto"/>
              <w:rPr>
                <w:sz w:val="18"/>
                <w:szCs w:val="18"/>
              </w:rPr>
            </w:pPr>
            <w:r w:rsidDel="00000000" w:rsidR="00000000" w:rsidRPr="00000000">
              <w:rPr>
                <w:sz w:val="18"/>
                <w:szCs w:val="18"/>
                <w:rtl w:val="0"/>
              </w:rPr>
              <w:t xml:space="preserve">Toute entité juridique qui soumet une Offre en réponse à cet Appel d’offres.</w:t>
            </w:r>
          </w:p>
        </w:tc>
      </w:tr>
      <w:tr>
        <w:trPr>
          <w:cantSplit w:val="0"/>
          <w:trHeight w:val="508" w:hRule="atLeast"/>
          <w:tblHeader w:val="0"/>
        </w:trPr>
        <w:tc>
          <w:tcPr/>
          <w:p w:rsidR="00000000" w:rsidDel="00000000" w:rsidP="00000000" w:rsidRDefault="00000000" w:rsidRPr="00000000" w14:paraId="0000005F">
            <w:pPr>
              <w:spacing w:after="0" w:lineRule="auto"/>
              <w:jc w:val="left"/>
              <w:rPr>
                <w:b w:val="0"/>
                <w:sz w:val="18"/>
                <w:szCs w:val="18"/>
              </w:rPr>
            </w:pPr>
            <w:r w:rsidDel="00000000" w:rsidR="00000000" w:rsidRPr="00000000">
              <w:rPr>
                <w:b w:val="0"/>
                <w:sz w:val="18"/>
                <w:szCs w:val="18"/>
                <w:rtl w:val="0"/>
              </w:rPr>
              <w:t xml:space="preserve">Candidat retenu </w:t>
            </w:r>
          </w:p>
        </w:tc>
        <w:tc>
          <w:tcPr/>
          <w:p w:rsidR="00000000" w:rsidDel="00000000" w:rsidP="00000000" w:rsidRDefault="00000000" w:rsidRPr="00000000" w14:paraId="00000060">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61">
            <w:pPr>
              <w:spacing w:after="0" w:lineRule="auto"/>
              <w:rPr>
                <w:sz w:val="18"/>
                <w:szCs w:val="18"/>
              </w:rPr>
            </w:pPr>
            <w:r w:rsidDel="00000000" w:rsidR="00000000" w:rsidRPr="00000000">
              <w:rPr>
                <w:sz w:val="18"/>
                <w:szCs w:val="18"/>
                <w:rtl w:val="0"/>
              </w:rPr>
              <w:t xml:space="preserve">Candidat désigné par Paris 2024 pour fournir tout ou partie des Services sur la base d'un Contrat, qui se voit accorder un contrat pour l'exploitation des programmes de catering d’un site pendant les Jeux.</w:t>
            </w:r>
          </w:p>
        </w:tc>
      </w:tr>
      <w:tr>
        <w:trPr>
          <w:cantSplit w:val="0"/>
          <w:trHeight w:val="508" w:hRule="atLeast"/>
          <w:tblHeader w:val="0"/>
        </w:trPr>
        <w:tc>
          <w:tcPr/>
          <w:p w:rsidR="00000000" w:rsidDel="00000000" w:rsidP="00000000" w:rsidRDefault="00000000" w:rsidRPr="00000000" w14:paraId="00000062">
            <w:pPr>
              <w:spacing w:after="0" w:lineRule="auto"/>
              <w:jc w:val="left"/>
              <w:rPr>
                <w:b w:val="0"/>
                <w:sz w:val="18"/>
                <w:szCs w:val="18"/>
              </w:rPr>
            </w:pPr>
            <w:r w:rsidDel="00000000" w:rsidR="00000000" w:rsidRPr="00000000">
              <w:rPr>
                <w:b w:val="0"/>
                <w:sz w:val="18"/>
                <w:szCs w:val="18"/>
                <w:rtl w:val="0"/>
              </w:rPr>
              <w:t xml:space="preserve">Carte d’identité et d’accréditation olympique</w:t>
            </w:r>
          </w:p>
        </w:tc>
        <w:tc>
          <w:tcPr/>
          <w:p w:rsidR="00000000" w:rsidDel="00000000" w:rsidP="00000000" w:rsidRDefault="00000000" w:rsidRPr="00000000" w14:paraId="00000063">
            <w:pPr>
              <w:spacing w:after="0" w:lineRule="auto"/>
              <w:jc w:val="center"/>
              <w:rPr>
                <w:sz w:val="18"/>
                <w:szCs w:val="18"/>
              </w:rPr>
            </w:pPr>
            <w:r w:rsidDel="00000000" w:rsidR="00000000" w:rsidRPr="00000000">
              <w:rPr>
                <w:sz w:val="18"/>
                <w:szCs w:val="18"/>
                <w:rtl w:val="0"/>
              </w:rPr>
              <w:t xml:space="preserve">CIAO</w:t>
            </w:r>
          </w:p>
        </w:tc>
        <w:tc>
          <w:tcPr/>
          <w:p w:rsidR="00000000" w:rsidDel="00000000" w:rsidP="00000000" w:rsidRDefault="00000000" w:rsidRPr="00000000" w14:paraId="00000064">
            <w:pPr>
              <w:spacing w:after="0" w:lineRule="auto"/>
              <w:rPr>
                <w:sz w:val="18"/>
                <w:szCs w:val="18"/>
              </w:rPr>
            </w:pPr>
            <w:r w:rsidDel="00000000" w:rsidR="00000000" w:rsidRPr="00000000">
              <w:rPr>
                <w:sz w:val="18"/>
                <w:szCs w:val="18"/>
                <w:rtl w:val="0"/>
              </w:rPr>
              <w:t xml:space="preserve">Titre d’accès nominatif dont le port visible est obligatoire pour toute personne souhaitant rentrer dans le Périmètre de sécurité pendant les JO. Le contrôle d’accès se fera via le scan de l’accréditation. </w:t>
            </w:r>
          </w:p>
        </w:tc>
      </w:tr>
      <w:tr>
        <w:trPr>
          <w:cantSplit w:val="0"/>
          <w:trHeight w:val="508" w:hRule="atLeast"/>
          <w:tblHeader w:val="0"/>
        </w:trPr>
        <w:tc>
          <w:tcPr/>
          <w:p w:rsidR="00000000" w:rsidDel="00000000" w:rsidP="00000000" w:rsidRDefault="00000000" w:rsidRPr="00000000" w14:paraId="00000065">
            <w:pPr>
              <w:spacing w:after="0" w:lineRule="auto"/>
              <w:jc w:val="left"/>
              <w:rPr>
                <w:sz w:val="18"/>
                <w:szCs w:val="18"/>
              </w:rPr>
            </w:pPr>
            <w:r w:rsidDel="00000000" w:rsidR="00000000" w:rsidRPr="00000000">
              <w:rPr>
                <w:b w:val="0"/>
                <w:sz w:val="18"/>
                <w:szCs w:val="18"/>
                <w:rtl w:val="0"/>
              </w:rPr>
              <w:t xml:space="preserve">Carte d’identité et d’accréditation paralympique</w:t>
            </w:r>
            <w:r w:rsidDel="00000000" w:rsidR="00000000" w:rsidRPr="00000000">
              <w:rPr>
                <w:rtl w:val="0"/>
              </w:rPr>
            </w:r>
          </w:p>
        </w:tc>
        <w:tc>
          <w:tcPr/>
          <w:p w:rsidR="00000000" w:rsidDel="00000000" w:rsidP="00000000" w:rsidRDefault="00000000" w:rsidRPr="00000000" w14:paraId="00000066">
            <w:pPr>
              <w:spacing w:after="0" w:lineRule="auto"/>
              <w:jc w:val="center"/>
              <w:rPr>
                <w:sz w:val="18"/>
                <w:szCs w:val="18"/>
              </w:rPr>
            </w:pPr>
            <w:r w:rsidDel="00000000" w:rsidR="00000000" w:rsidRPr="00000000">
              <w:rPr>
                <w:sz w:val="18"/>
                <w:szCs w:val="18"/>
                <w:rtl w:val="0"/>
              </w:rPr>
              <w:t xml:space="preserve">CIAP</w:t>
            </w:r>
          </w:p>
        </w:tc>
        <w:tc>
          <w:tcPr/>
          <w:p w:rsidR="00000000" w:rsidDel="00000000" w:rsidP="00000000" w:rsidRDefault="00000000" w:rsidRPr="00000000" w14:paraId="00000067">
            <w:pPr>
              <w:spacing w:after="0" w:lineRule="auto"/>
              <w:rPr>
                <w:sz w:val="18"/>
                <w:szCs w:val="18"/>
              </w:rPr>
            </w:pPr>
            <w:r w:rsidDel="00000000" w:rsidR="00000000" w:rsidRPr="00000000">
              <w:rPr>
                <w:sz w:val="18"/>
                <w:szCs w:val="18"/>
                <w:rtl w:val="0"/>
              </w:rPr>
              <w:t xml:space="preserve">Titre d’accès nominatif dont le port visible est obligatoire pour toute personne souhaitant rentrer dans le Périmètre de sécurité pendant les JP. Le contrôle d’accès se fera via le scan de l’accréditation. </w:t>
            </w:r>
          </w:p>
        </w:tc>
      </w:tr>
      <w:tr>
        <w:trPr>
          <w:cantSplit w:val="0"/>
          <w:trHeight w:val="96" w:hRule="atLeast"/>
          <w:tblHeader w:val="0"/>
        </w:trPr>
        <w:tc>
          <w:tcPr/>
          <w:p w:rsidR="00000000" w:rsidDel="00000000" w:rsidP="00000000" w:rsidRDefault="00000000" w:rsidRPr="00000000" w14:paraId="00000068">
            <w:pPr>
              <w:spacing w:after="0" w:lineRule="auto"/>
              <w:jc w:val="left"/>
              <w:rPr>
                <w:b w:val="0"/>
                <w:sz w:val="18"/>
                <w:szCs w:val="18"/>
              </w:rPr>
            </w:pPr>
            <w:r w:rsidDel="00000000" w:rsidR="00000000" w:rsidRPr="00000000">
              <w:rPr>
                <w:b w:val="0"/>
                <w:sz w:val="18"/>
                <w:szCs w:val="18"/>
                <w:rtl w:val="0"/>
              </w:rPr>
              <w:t xml:space="preserve">Catering, Cleaning &amp; Waste</w:t>
            </w:r>
          </w:p>
        </w:tc>
        <w:tc>
          <w:tcPr/>
          <w:p w:rsidR="00000000" w:rsidDel="00000000" w:rsidP="00000000" w:rsidRDefault="00000000" w:rsidRPr="00000000" w14:paraId="00000069">
            <w:pPr>
              <w:spacing w:after="0" w:lineRule="auto"/>
              <w:jc w:val="center"/>
              <w:rPr>
                <w:sz w:val="18"/>
                <w:szCs w:val="18"/>
              </w:rPr>
            </w:pPr>
            <w:r w:rsidDel="00000000" w:rsidR="00000000" w:rsidRPr="00000000">
              <w:rPr>
                <w:sz w:val="18"/>
                <w:szCs w:val="18"/>
                <w:rtl w:val="0"/>
              </w:rPr>
              <w:t xml:space="preserve">CCW</w:t>
            </w:r>
          </w:p>
        </w:tc>
        <w:tc>
          <w:tcPr/>
          <w:p w:rsidR="00000000" w:rsidDel="00000000" w:rsidP="00000000" w:rsidRDefault="00000000" w:rsidRPr="00000000" w14:paraId="0000006A">
            <w:pPr>
              <w:spacing w:after="0" w:lineRule="auto"/>
              <w:rPr>
                <w:sz w:val="18"/>
                <w:szCs w:val="18"/>
              </w:rPr>
            </w:pPr>
            <w:r w:rsidDel="00000000" w:rsidR="00000000" w:rsidRPr="00000000">
              <w:rPr>
                <w:sz w:val="18"/>
                <w:szCs w:val="18"/>
                <w:rtl w:val="0"/>
              </w:rPr>
              <w:t xml:space="preserve">Département au sein de Paris 2024 qui assurera les programmes de restauration, nettoyage et gestion des déchets de toutes les populations des Jeux</w:t>
            </w:r>
          </w:p>
        </w:tc>
      </w:tr>
      <w:tr>
        <w:trPr>
          <w:cantSplit w:val="0"/>
          <w:trHeight w:val="199" w:hRule="atLeast"/>
          <w:tblHeader w:val="0"/>
        </w:trPr>
        <w:tc>
          <w:tcPr/>
          <w:p w:rsidR="00000000" w:rsidDel="00000000" w:rsidP="00000000" w:rsidRDefault="00000000" w:rsidRPr="00000000" w14:paraId="0000006B">
            <w:pPr>
              <w:spacing w:after="0" w:lineRule="auto"/>
              <w:jc w:val="left"/>
              <w:rPr>
                <w:sz w:val="18"/>
                <w:szCs w:val="18"/>
              </w:rPr>
            </w:pPr>
            <w:r w:rsidDel="00000000" w:rsidR="00000000" w:rsidRPr="00000000">
              <w:rPr>
                <w:b w:val="0"/>
                <w:sz w:val="18"/>
                <w:szCs w:val="18"/>
                <w:rtl w:val="0"/>
              </w:rPr>
              <w:t xml:space="preserve">Charte Graphique </w:t>
            </w:r>
            <w:r w:rsidDel="00000000" w:rsidR="00000000" w:rsidRPr="00000000">
              <w:rPr>
                <w:rtl w:val="0"/>
              </w:rPr>
            </w:r>
          </w:p>
        </w:tc>
        <w:tc>
          <w:tcPr/>
          <w:p w:rsidR="00000000" w:rsidDel="00000000" w:rsidP="00000000" w:rsidRDefault="00000000" w:rsidRPr="00000000" w14:paraId="0000006C">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6D">
            <w:pPr>
              <w:spacing w:after="0" w:lineRule="auto"/>
              <w:rPr>
                <w:sz w:val="18"/>
                <w:szCs w:val="18"/>
              </w:rPr>
            </w:pPr>
            <w:r w:rsidDel="00000000" w:rsidR="00000000" w:rsidRPr="00000000">
              <w:rPr>
                <w:sz w:val="18"/>
                <w:szCs w:val="18"/>
                <w:rtl w:val="0"/>
              </w:rPr>
              <w:t xml:space="preserve">Identité visuelle créée par Paris 2024 garantissant une présentation cohérente des thèmes et images de la Ville Hôte pendant les Jeux et qui sera implémentée à travers l’ensemble des sites officiels des Jeux. </w:t>
            </w:r>
          </w:p>
        </w:tc>
      </w:tr>
      <w:tr>
        <w:trPr>
          <w:cantSplit w:val="0"/>
          <w:trHeight w:val="199" w:hRule="atLeast"/>
          <w:tblHeader w:val="0"/>
        </w:trPr>
        <w:tc>
          <w:tcPr/>
          <w:p w:rsidR="00000000" w:rsidDel="00000000" w:rsidP="00000000" w:rsidRDefault="00000000" w:rsidRPr="00000000" w14:paraId="0000006E">
            <w:pPr>
              <w:spacing w:after="0" w:lineRule="auto"/>
              <w:jc w:val="left"/>
              <w:rPr>
                <w:b w:val="0"/>
                <w:sz w:val="18"/>
                <w:szCs w:val="18"/>
              </w:rPr>
            </w:pPr>
            <w:r w:rsidDel="00000000" w:rsidR="00000000" w:rsidRPr="00000000">
              <w:rPr>
                <w:b w:val="0"/>
                <w:sz w:val="18"/>
                <w:szCs w:val="18"/>
                <w:rtl w:val="0"/>
              </w:rPr>
              <w:t xml:space="preserve">Charte Olympique</w:t>
            </w:r>
          </w:p>
        </w:tc>
        <w:tc>
          <w:tcPr/>
          <w:p w:rsidR="00000000" w:rsidDel="00000000" w:rsidP="00000000" w:rsidRDefault="00000000" w:rsidRPr="00000000" w14:paraId="0000006F">
            <w:pPr>
              <w:spacing w:after="0" w:lineRule="auto"/>
              <w:jc w:val="center"/>
              <w:rPr>
                <w:sz w:val="18"/>
                <w:szCs w:val="18"/>
              </w:rPr>
            </w:pPr>
            <w:r w:rsidDel="00000000" w:rsidR="00000000" w:rsidRPr="00000000">
              <w:rPr>
                <w:sz w:val="18"/>
                <w:szCs w:val="18"/>
                <w:rtl w:val="0"/>
              </w:rPr>
              <w:t xml:space="preserve">CO</w:t>
            </w:r>
          </w:p>
        </w:tc>
        <w:tc>
          <w:tcPr/>
          <w:p w:rsidR="00000000" w:rsidDel="00000000" w:rsidP="00000000" w:rsidRDefault="00000000" w:rsidRPr="00000000" w14:paraId="00000070">
            <w:pPr>
              <w:spacing w:after="0" w:lineRule="auto"/>
              <w:rPr>
                <w:sz w:val="18"/>
                <w:szCs w:val="18"/>
              </w:rPr>
            </w:pPr>
            <w:r w:rsidDel="00000000" w:rsidR="00000000" w:rsidRPr="00000000">
              <w:rPr>
                <w:sz w:val="18"/>
                <w:szCs w:val="18"/>
                <w:rtl w:val="0"/>
              </w:rPr>
              <w:t xml:space="preserve">La codification des Principes fondamentaux de l’Olympisme, des Règles et des Textes d’application adoptés par le CIO. La CO régit l’organisation, les actions et le fonctionnement du Mouvement olympique et fixe les conditions de la célébration des JO. Le Candidat s’engage à respecter sa dernière version en vigueur (disponible sur le site olympic.org) en tout temps et à ses frais.</w:t>
            </w:r>
          </w:p>
        </w:tc>
      </w:tr>
      <w:tr>
        <w:trPr>
          <w:cantSplit w:val="0"/>
          <w:trHeight w:val="199" w:hRule="atLeast"/>
          <w:tblHeader w:val="0"/>
        </w:trPr>
        <w:tc>
          <w:tcPr/>
          <w:p w:rsidR="00000000" w:rsidDel="00000000" w:rsidP="00000000" w:rsidRDefault="00000000" w:rsidRPr="00000000" w14:paraId="00000071">
            <w:pPr>
              <w:spacing w:after="0" w:lineRule="auto"/>
              <w:jc w:val="left"/>
              <w:rPr>
                <w:b w:val="0"/>
                <w:sz w:val="18"/>
                <w:szCs w:val="18"/>
              </w:rPr>
            </w:pPr>
            <w:r w:rsidDel="00000000" w:rsidR="00000000" w:rsidRPr="00000000">
              <w:rPr>
                <w:b w:val="0"/>
                <w:sz w:val="18"/>
                <w:szCs w:val="18"/>
                <w:rtl w:val="0"/>
              </w:rPr>
              <w:t xml:space="preserve">Clean Venue</w:t>
            </w:r>
          </w:p>
        </w:tc>
        <w:tc>
          <w:tcPr/>
          <w:p w:rsidR="00000000" w:rsidDel="00000000" w:rsidP="00000000" w:rsidRDefault="00000000" w:rsidRPr="00000000" w14:paraId="00000072">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73">
            <w:pPr>
              <w:spacing w:after="0" w:line="240" w:lineRule="auto"/>
              <w:rPr>
                <w:sz w:val="18"/>
                <w:szCs w:val="18"/>
              </w:rPr>
            </w:pPr>
            <w:r w:rsidDel="00000000" w:rsidR="00000000" w:rsidRPr="00000000">
              <w:rPr>
                <w:color w:val="000000"/>
                <w:sz w:val="18"/>
                <w:szCs w:val="18"/>
                <w:rtl w:val="0"/>
              </w:rPr>
              <w:t xml:space="preserve">Pendant la période des Jeux et la période de deux semaines précédant le début de la période des Jeux, aucune publicité ou propagande ne doit apparaître sur les sites olympiques, autour des sites olympiques &amp; paralympiques et dans l'espace aérien au-dessus de ces zones.</w:t>
            </w:r>
            <w:r w:rsidDel="00000000" w:rsidR="00000000" w:rsidRPr="00000000">
              <w:rPr>
                <w:rtl w:val="0"/>
              </w:rPr>
            </w:r>
          </w:p>
        </w:tc>
      </w:tr>
      <w:tr>
        <w:trPr>
          <w:cantSplit w:val="0"/>
          <w:trHeight w:val="199" w:hRule="atLeast"/>
          <w:tblHeader w:val="0"/>
        </w:trPr>
        <w:tc>
          <w:tcPr/>
          <w:p w:rsidR="00000000" w:rsidDel="00000000" w:rsidP="00000000" w:rsidRDefault="00000000" w:rsidRPr="00000000" w14:paraId="00000074">
            <w:pPr>
              <w:spacing w:after="0" w:lineRule="auto"/>
              <w:jc w:val="left"/>
              <w:rPr>
                <w:b w:val="0"/>
                <w:sz w:val="18"/>
                <w:szCs w:val="18"/>
              </w:rPr>
            </w:pPr>
            <w:r w:rsidDel="00000000" w:rsidR="00000000" w:rsidRPr="00000000">
              <w:rPr>
                <w:b w:val="0"/>
                <w:sz w:val="18"/>
                <w:szCs w:val="18"/>
                <w:rtl w:val="0"/>
              </w:rPr>
              <w:t xml:space="preserve">Comité International Olympique</w:t>
            </w:r>
          </w:p>
        </w:tc>
        <w:tc>
          <w:tcPr/>
          <w:p w:rsidR="00000000" w:rsidDel="00000000" w:rsidP="00000000" w:rsidRDefault="00000000" w:rsidRPr="00000000" w14:paraId="00000075">
            <w:pPr>
              <w:spacing w:after="0" w:lineRule="auto"/>
              <w:jc w:val="center"/>
              <w:rPr>
                <w:sz w:val="18"/>
                <w:szCs w:val="18"/>
              </w:rPr>
            </w:pPr>
            <w:r w:rsidDel="00000000" w:rsidR="00000000" w:rsidRPr="00000000">
              <w:rPr>
                <w:sz w:val="18"/>
                <w:szCs w:val="18"/>
                <w:rtl w:val="0"/>
              </w:rPr>
              <w:t xml:space="preserve">CIO </w:t>
            </w:r>
          </w:p>
        </w:tc>
        <w:tc>
          <w:tcPr/>
          <w:p w:rsidR="00000000" w:rsidDel="00000000" w:rsidP="00000000" w:rsidRDefault="00000000" w:rsidRPr="00000000" w14:paraId="00000076">
            <w:pPr>
              <w:spacing w:after="0" w:lineRule="auto"/>
              <w:rPr>
                <w:sz w:val="18"/>
                <w:szCs w:val="18"/>
              </w:rPr>
            </w:pPr>
            <w:r w:rsidDel="00000000" w:rsidR="00000000" w:rsidRPr="00000000">
              <w:rPr>
                <w:sz w:val="18"/>
                <w:szCs w:val="18"/>
                <w:rtl w:val="0"/>
              </w:rPr>
              <w:t xml:space="preserve">Sens défini au paragraphe 1.7</w:t>
            </w:r>
          </w:p>
        </w:tc>
      </w:tr>
      <w:tr>
        <w:trPr>
          <w:cantSplit w:val="0"/>
          <w:trHeight w:val="199" w:hRule="atLeast"/>
          <w:tblHeader w:val="0"/>
        </w:trPr>
        <w:tc>
          <w:tcPr/>
          <w:p w:rsidR="00000000" w:rsidDel="00000000" w:rsidP="00000000" w:rsidRDefault="00000000" w:rsidRPr="00000000" w14:paraId="00000077">
            <w:pPr>
              <w:spacing w:after="0" w:lineRule="auto"/>
              <w:jc w:val="left"/>
              <w:rPr>
                <w:b w:val="0"/>
                <w:sz w:val="18"/>
                <w:szCs w:val="18"/>
              </w:rPr>
            </w:pPr>
            <w:r w:rsidDel="00000000" w:rsidR="00000000" w:rsidRPr="00000000">
              <w:rPr>
                <w:b w:val="0"/>
                <w:sz w:val="18"/>
                <w:szCs w:val="18"/>
                <w:rtl w:val="0"/>
              </w:rPr>
              <w:t xml:space="preserve">Comité International Paralympique</w:t>
            </w:r>
          </w:p>
        </w:tc>
        <w:tc>
          <w:tcPr/>
          <w:p w:rsidR="00000000" w:rsidDel="00000000" w:rsidP="00000000" w:rsidRDefault="00000000" w:rsidRPr="00000000" w14:paraId="00000078">
            <w:pPr>
              <w:spacing w:after="0" w:lineRule="auto"/>
              <w:jc w:val="center"/>
              <w:rPr>
                <w:sz w:val="18"/>
                <w:szCs w:val="18"/>
              </w:rPr>
            </w:pPr>
            <w:r w:rsidDel="00000000" w:rsidR="00000000" w:rsidRPr="00000000">
              <w:rPr>
                <w:sz w:val="18"/>
                <w:szCs w:val="18"/>
                <w:rtl w:val="0"/>
              </w:rPr>
              <w:t xml:space="preserve">IPC</w:t>
            </w:r>
          </w:p>
        </w:tc>
        <w:tc>
          <w:tcPr/>
          <w:p w:rsidR="00000000" w:rsidDel="00000000" w:rsidP="00000000" w:rsidRDefault="00000000" w:rsidRPr="00000000" w14:paraId="00000079">
            <w:pPr>
              <w:spacing w:after="0" w:lineRule="auto"/>
              <w:rPr>
                <w:sz w:val="18"/>
                <w:szCs w:val="18"/>
              </w:rPr>
            </w:pPr>
            <w:r w:rsidDel="00000000" w:rsidR="00000000" w:rsidRPr="00000000">
              <w:rPr>
                <w:sz w:val="18"/>
                <w:szCs w:val="18"/>
                <w:rtl w:val="0"/>
              </w:rPr>
              <w:t xml:space="preserve">Sens défini au paragraphe 1.7</w:t>
            </w:r>
          </w:p>
        </w:tc>
      </w:tr>
      <w:tr>
        <w:trPr>
          <w:cantSplit w:val="0"/>
          <w:trHeight w:val="199" w:hRule="atLeast"/>
          <w:tblHeader w:val="0"/>
        </w:trPr>
        <w:tc>
          <w:tcPr/>
          <w:p w:rsidR="00000000" w:rsidDel="00000000" w:rsidP="00000000" w:rsidRDefault="00000000" w:rsidRPr="00000000" w14:paraId="0000007A">
            <w:pPr>
              <w:spacing w:after="0" w:lineRule="auto"/>
              <w:jc w:val="left"/>
              <w:rPr>
                <w:b w:val="0"/>
                <w:sz w:val="18"/>
                <w:szCs w:val="18"/>
              </w:rPr>
            </w:pPr>
            <w:r w:rsidDel="00000000" w:rsidR="00000000" w:rsidRPr="00000000">
              <w:rPr>
                <w:b w:val="0"/>
                <w:sz w:val="18"/>
                <w:szCs w:val="18"/>
                <w:rtl w:val="0"/>
              </w:rPr>
              <w:t xml:space="preserve">Comité National Olympique </w:t>
            </w:r>
          </w:p>
        </w:tc>
        <w:tc>
          <w:tcPr/>
          <w:p w:rsidR="00000000" w:rsidDel="00000000" w:rsidP="00000000" w:rsidRDefault="00000000" w:rsidRPr="00000000" w14:paraId="0000007B">
            <w:pPr>
              <w:spacing w:after="0" w:lineRule="auto"/>
              <w:jc w:val="center"/>
              <w:rPr>
                <w:sz w:val="18"/>
                <w:szCs w:val="18"/>
              </w:rPr>
            </w:pPr>
            <w:r w:rsidDel="00000000" w:rsidR="00000000" w:rsidRPr="00000000">
              <w:rPr>
                <w:sz w:val="18"/>
                <w:szCs w:val="18"/>
                <w:rtl w:val="0"/>
              </w:rPr>
              <w:t xml:space="preserve">CNO</w:t>
            </w:r>
          </w:p>
        </w:tc>
        <w:tc>
          <w:tcPr/>
          <w:p w:rsidR="00000000" w:rsidDel="00000000" w:rsidP="00000000" w:rsidRDefault="00000000" w:rsidRPr="00000000" w14:paraId="0000007C">
            <w:pPr>
              <w:spacing w:after="0" w:lineRule="auto"/>
              <w:rPr>
                <w:sz w:val="18"/>
                <w:szCs w:val="18"/>
              </w:rPr>
            </w:pPr>
            <w:r w:rsidDel="00000000" w:rsidR="00000000" w:rsidRPr="00000000">
              <w:rPr>
                <w:sz w:val="18"/>
                <w:szCs w:val="18"/>
                <w:rtl w:val="0"/>
              </w:rPr>
              <w:t xml:space="preserve">Sens défini au paragraphe 1.7</w:t>
            </w:r>
          </w:p>
        </w:tc>
      </w:tr>
      <w:tr>
        <w:trPr>
          <w:cantSplit w:val="0"/>
          <w:trHeight w:val="785" w:hRule="atLeast"/>
          <w:tblHeader w:val="0"/>
        </w:trPr>
        <w:tc>
          <w:tcPr/>
          <w:p w:rsidR="00000000" w:rsidDel="00000000" w:rsidP="00000000" w:rsidRDefault="00000000" w:rsidRPr="00000000" w14:paraId="0000007D">
            <w:pPr>
              <w:jc w:val="left"/>
              <w:rPr>
                <w:b w:val="0"/>
                <w:sz w:val="18"/>
                <w:szCs w:val="18"/>
              </w:rPr>
            </w:pPr>
            <w:r w:rsidDel="00000000" w:rsidR="00000000" w:rsidRPr="00000000">
              <w:rPr>
                <w:b w:val="0"/>
                <w:sz w:val="18"/>
                <w:szCs w:val="18"/>
                <w:rtl w:val="0"/>
              </w:rPr>
              <w:t xml:space="preserve">Comité National Olympique et Sportif Français</w:t>
            </w:r>
          </w:p>
        </w:tc>
        <w:tc>
          <w:tcPr/>
          <w:p w:rsidR="00000000" w:rsidDel="00000000" w:rsidP="00000000" w:rsidRDefault="00000000" w:rsidRPr="00000000" w14:paraId="0000007E">
            <w:pPr>
              <w:jc w:val="center"/>
              <w:rPr>
                <w:sz w:val="18"/>
                <w:szCs w:val="18"/>
              </w:rPr>
            </w:pPr>
            <w:r w:rsidDel="00000000" w:rsidR="00000000" w:rsidRPr="00000000">
              <w:rPr>
                <w:sz w:val="18"/>
                <w:szCs w:val="18"/>
                <w:rtl w:val="0"/>
              </w:rPr>
              <w:t xml:space="preserve">CNOSF</w:t>
            </w:r>
          </w:p>
        </w:tc>
        <w:tc>
          <w:tcPr/>
          <w:p w:rsidR="00000000" w:rsidDel="00000000" w:rsidP="00000000" w:rsidRDefault="00000000" w:rsidRPr="00000000" w14:paraId="0000007F">
            <w:pPr>
              <w:spacing w:after="0" w:lineRule="auto"/>
              <w:rPr>
                <w:sz w:val="18"/>
                <w:szCs w:val="18"/>
              </w:rPr>
            </w:pPr>
            <w:r w:rsidDel="00000000" w:rsidR="00000000" w:rsidRPr="00000000">
              <w:rPr>
                <w:sz w:val="18"/>
                <w:szCs w:val="18"/>
                <w:rtl w:val="0"/>
              </w:rPr>
              <w:t xml:space="preserve">Sens défini au paragraphe 1.7</w:t>
            </w:r>
          </w:p>
        </w:tc>
      </w:tr>
      <w:tr>
        <w:trPr>
          <w:cantSplit w:val="0"/>
          <w:trHeight w:val="199" w:hRule="atLeast"/>
          <w:tblHeader w:val="0"/>
        </w:trPr>
        <w:tc>
          <w:tcPr/>
          <w:p w:rsidR="00000000" w:rsidDel="00000000" w:rsidP="00000000" w:rsidRDefault="00000000" w:rsidRPr="00000000" w14:paraId="00000080">
            <w:pPr>
              <w:spacing w:after="0" w:lineRule="auto"/>
              <w:jc w:val="left"/>
              <w:rPr>
                <w:b w:val="0"/>
                <w:sz w:val="18"/>
                <w:szCs w:val="18"/>
              </w:rPr>
            </w:pPr>
            <w:r w:rsidDel="00000000" w:rsidR="00000000" w:rsidRPr="00000000">
              <w:rPr>
                <w:b w:val="0"/>
                <w:sz w:val="18"/>
                <w:szCs w:val="18"/>
                <w:rtl w:val="0"/>
              </w:rPr>
              <w:t xml:space="preserve">Comité National Paralympique</w:t>
            </w:r>
          </w:p>
        </w:tc>
        <w:tc>
          <w:tcPr/>
          <w:p w:rsidR="00000000" w:rsidDel="00000000" w:rsidP="00000000" w:rsidRDefault="00000000" w:rsidRPr="00000000" w14:paraId="00000081">
            <w:pPr>
              <w:spacing w:after="0" w:lineRule="auto"/>
              <w:jc w:val="center"/>
              <w:rPr>
                <w:sz w:val="18"/>
                <w:szCs w:val="18"/>
              </w:rPr>
            </w:pPr>
            <w:r w:rsidDel="00000000" w:rsidR="00000000" w:rsidRPr="00000000">
              <w:rPr>
                <w:sz w:val="18"/>
                <w:szCs w:val="18"/>
                <w:rtl w:val="0"/>
              </w:rPr>
              <w:t xml:space="preserve">CNP</w:t>
            </w:r>
          </w:p>
        </w:tc>
        <w:tc>
          <w:tcPr/>
          <w:p w:rsidR="00000000" w:rsidDel="00000000" w:rsidP="00000000" w:rsidRDefault="00000000" w:rsidRPr="00000000" w14:paraId="00000082">
            <w:pPr>
              <w:spacing w:after="0" w:lineRule="auto"/>
              <w:rPr>
                <w:sz w:val="18"/>
                <w:szCs w:val="18"/>
              </w:rPr>
            </w:pPr>
            <w:r w:rsidDel="00000000" w:rsidR="00000000" w:rsidRPr="00000000">
              <w:rPr>
                <w:sz w:val="18"/>
                <w:szCs w:val="18"/>
                <w:rtl w:val="0"/>
              </w:rPr>
              <w:t xml:space="preserve">Sens défini au paragraphe 1.7</w:t>
            </w:r>
          </w:p>
        </w:tc>
      </w:tr>
      <w:tr>
        <w:trPr>
          <w:cantSplit w:val="0"/>
          <w:trHeight w:val="304" w:hRule="atLeast"/>
          <w:tblHeader w:val="0"/>
        </w:trPr>
        <w:tc>
          <w:tcPr/>
          <w:p w:rsidR="00000000" w:rsidDel="00000000" w:rsidP="00000000" w:rsidRDefault="00000000" w:rsidRPr="00000000" w14:paraId="00000083">
            <w:pPr>
              <w:spacing w:after="0" w:lineRule="auto"/>
              <w:jc w:val="left"/>
              <w:rPr>
                <w:b w:val="0"/>
                <w:sz w:val="18"/>
                <w:szCs w:val="18"/>
              </w:rPr>
            </w:pPr>
            <w:r w:rsidDel="00000000" w:rsidR="00000000" w:rsidRPr="00000000">
              <w:rPr>
                <w:b w:val="0"/>
                <w:sz w:val="18"/>
                <w:szCs w:val="18"/>
                <w:rtl w:val="0"/>
              </w:rPr>
              <w:t xml:space="preserve">Commission variable</w:t>
            </w:r>
          </w:p>
        </w:tc>
        <w:tc>
          <w:tcPr/>
          <w:p w:rsidR="00000000" w:rsidDel="00000000" w:rsidP="00000000" w:rsidRDefault="00000000" w:rsidRPr="00000000" w14:paraId="00000084">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85">
            <w:pPr>
              <w:spacing w:after="0" w:lineRule="auto"/>
              <w:rPr>
                <w:sz w:val="18"/>
                <w:szCs w:val="18"/>
              </w:rPr>
            </w:pPr>
            <w:r w:rsidDel="00000000" w:rsidR="00000000" w:rsidRPr="00000000">
              <w:rPr>
                <w:sz w:val="18"/>
                <w:szCs w:val="18"/>
                <w:rtl w:val="0"/>
              </w:rPr>
              <w:t xml:space="preserve">Royalties indexées sur le Chiffre d’affaires Hors Taxes réalisé dans les points de vente payants du site exploité par le Candidat retenu à Paris 2024. </w:t>
            </w:r>
          </w:p>
        </w:tc>
      </w:tr>
      <w:tr>
        <w:trPr>
          <w:cantSplit w:val="0"/>
          <w:trHeight w:val="298" w:hRule="atLeast"/>
          <w:tblHeader w:val="0"/>
        </w:trPr>
        <w:tc>
          <w:tcPr/>
          <w:p w:rsidR="00000000" w:rsidDel="00000000" w:rsidP="00000000" w:rsidRDefault="00000000" w:rsidRPr="00000000" w14:paraId="00000086">
            <w:pPr>
              <w:spacing w:after="0" w:lineRule="auto"/>
              <w:jc w:val="left"/>
              <w:rPr>
                <w:b w:val="0"/>
                <w:sz w:val="18"/>
                <w:szCs w:val="18"/>
              </w:rPr>
            </w:pPr>
            <w:r w:rsidDel="00000000" w:rsidR="00000000" w:rsidRPr="00000000">
              <w:rPr>
                <w:b w:val="0"/>
                <w:sz w:val="18"/>
                <w:szCs w:val="18"/>
                <w:rtl w:val="0"/>
              </w:rPr>
              <w:t xml:space="preserve">Contractor Meal Ordering System</w:t>
            </w:r>
          </w:p>
        </w:tc>
        <w:tc>
          <w:tcPr/>
          <w:p w:rsidR="00000000" w:rsidDel="00000000" w:rsidP="00000000" w:rsidRDefault="00000000" w:rsidRPr="00000000" w14:paraId="00000087">
            <w:pPr>
              <w:spacing w:after="0" w:lineRule="auto"/>
              <w:jc w:val="center"/>
              <w:rPr>
                <w:sz w:val="18"/>
                <w:szCs w:val="18"/>
              </w:rPr>
            </w:pPr>
            <w:r w:rsidDel="00000000" w:rsidR="00000000" w:rsidRPr="00000000">
              <w:rPr>
                <w:sz w:val="18"/>
                <w:szCs w:val="18"/>
                <w:rtl w:val="0"/>
              </w:rPr>
              <w:t xml:space="preserve">CMOS</w:t>
            </w:r>
          </w:p>
        </w:tc>
        <w:tc>
          <w:tcPr/>
          <w:p w:rsidR="00000000" w:rsidDel="00000000" w:rsidP="00000000" w:rsidRDefault="00000000" w:rsidRPr="00000000" w14:paraId="00000088">
            <w:pPr>
              <w:spacing w:after="0" w:lineRule="auto"/>
              <w:rPr>
                <w:sz w:val="18"/>
                <w:szCs w:val="18"/>
              </w:rPr>
            </w:pPr>
            <w:r w:rsidDel="00000000" w:rsidR="00000000" w:rsidRPr="00000000">
              <w:rPr>
                <w:sz w:val="18"/>
                <w:szCs w:val="18"/>
                <w:rtl w:val="0"/>
              </w:rPr>
              <w:t xml:space="preserve">Solution électronique proposée aux sous-traitants pour commander et payer les repas de leur personnel pour bénéficier de droits d’accès au Catering du Staff.</w:t>
            </w:r>
          </w:p>
        </w:tc>
      </w:tr>
      <w:tr>
        <w:trPr>
          <w:cantSplit w:val="0"/>
          <w:trHeight w:val="199" w:hRule="atLeast"/>
          <w:tblHeader w:val="0"/>
        </w:trPr>
        <w:tc>
          <w:tcPr/>
          <w:p w:rsidR="00000000" w:rsidDel="00000000" w:rsidP="00000000" w:rsidRDefault="00000000" w:rsidRPr="00000000" w14:paraId="00000089">
            <w:pPr>
              <w:spacing w:after="0" w:lineRule="auto"/>
              <w:jc w:val="left"/>
              <w:rPr>
                <w:b w:val="0"/>
                <w:sz w:val="18"/>
                <w:szCs w:val="18"/>
              </w:rPr>
            </w:pPr>
            <w:r w:rsidDel="00000000" w:rsidR="00000000" w:rsidRPr="00000000">
              <w:rPr>
                <w:b w:val="0"/>
                <w:sz w:val="18"/>
                <w:szCs w:val="18"/>
                <w:rtl w:val="0"/>
              </w:rPr>
              <w:t xml:space="preserve">Contrat</w:t>
            </w:r>
          </w:p>
        </w:tc>
        <w:tc>
          <w:tcPr/>
          <w:p w:rsidR="00000000" w:rsidDel="00000000" w:rsidP="00000000" w:rsidRDefault="00000000" w:rsidRPr="00000000" w14:paraId="0000008A">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8B">
            <w:pPr>
              <w:spacing w:after="0" w:lineRule="auto"/>
              <w:rPr>
                <w:sz w:val="18"/>
                <w:szCs w:val="18"/>
              </w:rPr>
            </w:pPr>
            <w:r w:rsidDel="00000000" w:rsidR="00000000" w:rsidRPr="00000000">
              <w:rPr>
                <w:sz w:val="18"/>
                <w:szCs w:val="18"/>
                <w:rtl w:val="0"/>
              </w:rPr>
              <w:t xml:space="preserve">Le contrat signé par Paris 2024 et par le Candidat retenu et portant sur les Services prévus dans l’Appel d’offre.</w:t>
            </w:r>
          </w:p>
        </w:tc>
      </w:tr>
      <w:tr>
        <w:trPr>
          <w:cantSplit w:val="0"/>
          <w:trHeight w:val="404" w:hRule="atLeast"/>
          <w:tblHeader w:val="0"/>
        </w:trPr>
        <w:tc>
          <w:tcPr/>
          <w:p w:rsidR="00000000" w:rsidDel="00000000" w:rsidP="00000000" w:rsidRDefault="00000000" w:rsidRPr="00000000" w14:paraId="0000008C">
            <w:pPr>
              <w:spacing w:after="0" w:lineRule="auto"/>
              <w:jc w:val="left"/>
              <w:rPr>
                <w:b w:val="0"/>
                <w:sz w:val="18"/>
                <w:szCs w:val="18"/>
              </w:rPr>
            </w:pPr>
            <w:r w:rsidDel="00000000" w:rsidR="00000000" w:rsidRPr="00000000">
              <w:rPr>
                <w:b w:val="0"/>
                <w:sz w:val="18"/>
                <w:szCs w:val="18"/>
                <w:rtl w:val="0"/>
              </w:rPr>
              <w:t xml:space="preserve">Contrat Ville Hôte (Host City Contract)</w:t>
            </w:r>
          </w:p>
        </w:tc>
        <w:tc>
          <w:tcPr/>
          <w:p w:rsidR="00000000" w:rsidDel="00000000" w:rsidP="00000000" w:rsidRDefault="00000000" w:rsidRPr="00000000" w14:paraId="0000008D">
            <w:pPr>
              <w:spacing w:after="0" w:lineRule="auto"/>
              <w:jc w:val="center"/>
              <w:rPr>
                <w:sz w:val="18"/>
                <w:szCs w:val="18"/>
              </w:rPr>
            </w:pPr>
            <w:r w:rsidDel="00000000" w:rsidR="00000000" w:rsidRPr="00000000">
              <w:rPr>
                <w:sz w:val="18"/>
                <w:szCs w:val="18"/>
                <w:rtl w:val="0"/>
              </w:rPr>
              <w:t xml:space="preserve">HCC</w:t>
            </w:r>
          </w:p>
        </w:tc>
        <w:tc>
          <w:tcPr/>
          <w:p w:rsidR="00000000" w:rsidDel="00000000" w:rsidP="00000000" w:rsidRDefault="00000000" w:rsidRPr="00000000" w14:paraId="0000008E">
            <w:pPr>
              <w:spacing w:after="0" w:lineRule="auto"/>
              <w:rPr>
                <w:sz w:val="18"/>
                <w:szCs w:val="18"/>
              </w:rPr>
            </w:pPr>
            <w:r w:rsidDel="00000000" w:rsidR="00000000" w:rsidRPr="00000000">
              <w:rPr>
                <w:sz w:val="18"/>
                <w:szCs w:val="18"/>
                <w:rtl w:val="0"/>
              </w:rPr>
              <w:t xml:space="preserve">Contrat entre le CIO, la Ville Hôte et le CNO du pays concerné, établissant les responsabilités du CNO, du Comité d’organisation et de la Ville Hôte en ce qui concerne l’organisation, le financement et le déroulement des JO ainsi que la contribution du CIO au succès des JO. Le Comité d’organisation (cf. ci-après “Paris 2024”), créé dans les cinq mois suivant la désignation de la Ville Hôte par le CIO, adhère peu après sa création au HCC. Le HCC est référencé dans la CO et signé après l’élection de la Ville Hôte.</w:t>
            </w:r>
          </w:p>
        </w:tc>
      </w:tr>
      <w:tr>
        <w:trPr>
          <w:cantSplit w:val="0"/>
          <w:trHeight w:val="96" w:hRule="atLeast"/>
          <w:tblHeader w:val="0"/>
        </w:trPr>
        <w:tc>
          <w:tcPr/>
          <w:p w:rsidR="00000000" w:rsidDel="00000000" w:rsidP="00000000" w:rsidRDefault="00000000" w:rsidRPr="00000000" w14:paraId="0000008F">
            <w:pPr>
              <w:spacing w:after="0" w:lineRule="auto"/>
              <w:jc w:val="left"/>
              <w:rPr>
                <w:b w:val="0"/>
                <w:sz w:val="18"/>
                <w:szCs w:val="18"/>
              </w:rPr>
            </w:pPr>
            <w:r w:rsidDel="00000000" w:rsidR="00000000" w:rsidRPr="00000000">
              <w:rPr>
                <w:b w:val="0"/>
                <w:sz w:val="18"/>
                <w:szCs w:val="18"/>
                <w:rtl w:val="0"/>
              </w:rPr>
              <w:t xml:space="preserve">Echéance clé</w:t>
            </w:r>
          </w:p>
        </w:tc>
        <w:tc>
          <w:tcPr/>
          <w:p w:rsidR="00000000" w:rsidDel="00000000" w:rsidP="00000000" w:rsidRDefault="00000000" w:rsidRPr="00000000" w14:paraId="00000090">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91">
            <w:pPr>
              <w:spacing w:after="0" w:lineRule="auto"/>
              <w:rPr>
                <w:sz w:val="18"/>
                <w:szCs w:val="18"/>
              </w:rPr>
            </w:pPr>
            <w:r w:rsidDel="00000000" w:rsidR="00000000" w:rsidRPr="00000000">
              <w:rPr>
                <w:sz w:val="18"/>
                <w:szCs w:val="18"/>
                <w:rtl w:val="0"/>
              </w:rPr>
              <w:t xml:space="preserve">Date de livraison d’une étape importante du projet.</w:t>
            </w:r>
          </w:p>
        </w:tc>
      </w:tr>
      <w:tr>
        <w:trPr>
          <w:cantSplit w:val="0"/>
          <w:trHeight w:val="304" w:hRule="atLeast"/>
          <w:tblHeader w:val="0"/>
        </w:trPr>
        <w:tc>
          <w:tcPr/>
          <w:p w:rsidR="00000000" w:rsidDel="00000000" w:rsidP="00000000" w:rsidRDefault="00000000" w:rsidRPr="00000000" w14:paraId="00000092">
            <w:pPr>
              <w:spacing w:after="0" w:lineRule="auto"/>
              <w:jc w:val="left"/>
              <w:rPr>
                <w:b w:val="0"/>
                <w:sz w:val="18"/>
                <w:szCs w:val="18"/>
              </w:rPr>
            </w:pPr>
            <w:r w:rsidDel="00000000" w:rsidR="00000000" w:rsidRPr="00000000">
              <w:rPr>
                <w:b w:val="0"/>
                <w:sz w:val="18"/>
                <w:szCs w:val="18"/>
                <w:rtl w:val="0"/>
              </w:rPr>
              <w:t xml:space="preserve">Fédérations Internationales</w:t>
            </w:r>
          </w:p>
        </w:tc>
        <w:tc>
          <w:tcPr/>
          <w:p w:rsidR="00000000" w:rsidDel="00000000" w:rsidP="00000000" w:rsidRDefault="00000000" w:rsidRPr="00000000" w14:paraId="00000093">
            <w:pPr>
              <w:spacing w:after="0" w:lineRule="auto"/>
              <w:jc w:val="center"/>
              <w:rPr>
                <w:sz w:val="18"/>
                <w:szCs w:val="18"/>
              </w:rPr>
            </w:pPr>
            <w:r w:rsidDel="00000000" w:rsidR="00000000" w:rsidRPr="00000000">
              <w:rPr>
                <w:sz w:val="18"/>
                <w:szCs w:val="18"/>
                <w:rtl w:val="0"/>
              </w:rPr>
              <w:t xml:space="preserve">FI</w:t>
            </w:r>
          </w:p>
        </w:tc>
        <w:tc>
          <w:tcPr/>
          <w:p w:rsidR="00000000" w:rsidDel="00000000" w:rsidP="00000000" w:rsidRDefault="00000000" w:rsidRPr="00000000" w14:paraId="00000094">
            <w:pPr>
              <w:spacing w:after="0" w:lineRule="auto"/>
              <w:rPr>
                <w:sz w:val="18"/>
                <w:szCs w:val="18"/>
              </w:rPr>
            </w:pPr>
            <w:r w:rsidDel="00000000" w:rsidR="00000000" w:rsidRPr="00000000">
              <w:rPr>
                <w:sz w:val="18"/>
                <w:szCs w:val="18"/>
                <w:rtl w:val="0"/>
              </w:rPr>
              <w:t xml:space="preserve">Sens défini au paragraphe 1.7</w:t>
            </w:r>
          </w:p>
        </w:tc>
      </w:tr>
      <w:tr>
        <w:trPr>
          <w:cantSplit w:val="0"/>
          <w:trHeight w:val="199" w:hRule="atLeast"/>
          <w:tblHeader w:val="0"/>
        </w:trPr>
        <w:tc>
          <w:tcPr/>
          <w:p w:rsidR="00000000" w:rsidDel="00000000" w:rsidP="00000000" w:rsidRDefault="00000000" w:rsidRPr="00000000" w14:paraId="00000095">
            <w:pPr>
              <w:spacing w:after="0" w:lineRule="auto"/>
              <w:jc w:val="left"/>
              <w:rPr>
                <w:b w:val="0"/>
                <w:sz w:val="18"/>
                <w:szCs w:val="18"/>
              </w:rPr>
            </w:pPr>
            <w:r w:rsidDel="00000000" w:rsidR="00000000" w:rsidRPr="00000000">
              <w:rPr>
                <w:b w:val="0"/>
                <w:sz w:val="18"/>
                <w:szCs w:val="18"/>
                <w:rtl w:val="0"/>
              </w:rPr>
              <w:t xml:space="preserve">Front-of-House</w:t>
            </w:r>
          </w:p>
        </w:tc>
        <w:tc>
          <w:tcPr/>
          <w:p w:rsidR="00000000" w:rsidDel="00000000" w:rsidP="00000000" w:rsidRDefault="00000000" w:rsidRPr="00000000" w14:paraId="00000096">
            <w:pPr>
              <w:spacing w:after="0" w:lineRule="auto"/>
              <w:jc w:val="center"/>
              <w:rPr>
                <w:sz w:val="18"/>
                <w:szCs w:val="18"/>
              </w:rPr>
            </w:pPr>
            <w:r w:rsidDel="00000000" w:rsidR="00000000" w:rsidRPr="00000000">
              <w:rPr>
                <w:sz w:val="18"/>
                <w:szCs w:val="18"/>
                <w:rtl w:val="0"/>
              </w:rPr>
              <w:t xml:space="preserve">FOH</w:t>
            </w:r>
          </w:p>
        </w:tc>
        <w:tc>
          <w:tcPr/>
          <w:p w:rsidR="00000000" w:rsidDel="00000000" w:rsidP="00000000" w:rsidRDefault="00000000" w:rsidRPr="00000000" w14:paraId="00000097">
            <w:pPr>
              <w:spacing w:after="0" w:lineRule="auto"/>
              <w:rPr>
                <w:sz w:val="18"/>
                <w:szCs w:val="18"/>
              </w:rPr>
            </w:pPr>
            <w:r w:rsidDel="00000000" w:rsidR="00000000" w:rsidRPr="00000000">
              <w:rPr>
                <w:sz w:val="18"/>
                <w:szCs w:val="18"/>
                <w:rtl w:val="0"/>
              </w:rPr>
              <w:t xml:space="preserve">Zones de services (comptoirs de service / linéaires de distribution / buffets) et salles de restauration.</w:t>
            </w:r>
            <w:r w:rsidDel="00000000" w:rsidR="00000000" w:rsidRPr="00000000">
              <w:rPr>
                <w:color w:val="000000"/>
                <w:sz w:val="18"/>
                <w:szCs w:val="18"/>
                <w:shd w:fill="cce1ff" w:val="clear"/>
                <w:rtl w:val="0"/>
              </w:rPr>
              <w:t xml:space="preserve"> </w:t>
            </w:r>
            <w:r w:rsidDel="00000000" w:rsidR="00000000" w:rsidRPr="00000000">
              <w:rPr>
                <w:rtl w:val="0"/>
              </w:rPr>
            </w:r>
          </w:p>
        </w:tc>
      </w:tr>
      <w:tr>
        <w:trPr>
          <w:cantSplit w:val="0"/>
          <w:trHeight w:val="199" w:hRule="atLeast"/>
          <w:tblHeader w:val="0"/>
        </w:trPr>
        <w:tc>
          <w:tcPr/>
          <w:p w:rsidR="00000000" w:rsidDel="00000000" w:rsidP="00000000" w:rsidRDefault="00000000" w:rsidRPr="00000000" w14:paraId="00000098">
            <w:pPr>
              <w:spacing w:after="0" w:lineRule="auto"/>
              <w:jc w:val="left"/>
              <w:rPr>
                <w:b w:val="0"/>
                <w:sz w:val="18"/>
                <w:szCs w:val="18"/>
              </w:rPr>
            </w:pPr>
            <w:r w:rsidDel="00000000" w:rsidR="00000000" w:rsidRPr="00000000">
              <w:rPr>
                <w:b w:val="0"/>
                <w:sz w:val="18"/>
                <w:szCs w:val="18"/>
                <w:rtl w:val="0"/>
              </w:rPr>
              <w:t xml:space="preserve">Indicateurs clé de performance (Key Performance Indicators)</w:t>
            </w:r>
          </w:p>
        </w:tc>
        <w:tc>
          <w:tcPr/>
          <w:p w:rsidR="00000000" w:rsidDel="00000000" w:rsidP="00000000" w:rsidRDefault="00000000" w:rsidRPr="00000000" w14:paraId="00000099">
            <w:pPr>
              <w:spacing w:after="0" w:lineRule="auto"/>
              <w:jc w:val="center"/>
              <w:rPr>
                <w:sz w:val="18"/>
                <w:szCs w:val="18"/>
              </w:rPr>
            </w:pPr>
            <w:r w:rsidDel="00000000" w:rsidR="00000000" w:rsidRPr="00000000">
              <w:rPr>
                <w:sz w:val="18"/>
                <w:szCs w:val="18"/>
                <w:rtl w:val="0"/>
              </w:rPr>
              <w:t xml:space="preserve">KPI</w:t>
            </w:r>
          </w:p>
        </w:tc>
        <w:tc>
          <w:tcPr/>
          <w:p w:rsidR="00000000" w:rsidDel="00000000" w:rsidP="00000000" w:rsidRDefault="00000000" w:rsidRPr="00000000" w14:paraId="0000009A">
            <w:pPr>
              <w:spacing w:after="0" w:lineRule="auto"/>
              <w:rPr>
                <w:sz w:val="18"/>
                <w:szCs w:val="18"/>
              </w:rPr>
            </w:pPr>
            <w:r w:rsidDel="00000000" w:rsidR="00000000" w:rsidRPr="00000000">
              <w:rPr>
                <w:sz w:val="18"/>
                <w:szCs w:val="18"/>
                <w:rtl w:val="0"/>
              </w:rPr>
              <w:t xml:space="preserve">Facteurs pris en compte pour mesurer l'efficacité globale du dispositif de catering sur chaque site.</w:t>
            </w:r>
          </w:p>
        </w:tc>
      </w:tr>
      <w:tr>
        <w:trPr>
          <w:cantSplit w:val="0"/>
          <w:trHeight w:val="199" w:hRule="atLeast"/>
          <w:tblHeader w:val="0"/>
        </w:trPr>
        <w:tc>
          <w:tcPr/>
          <w:p w:rsidR="00000000" w:rsidDel="00000000" w:rsidP="00000000" w:rsidRDefault="00000000" w:rsidRPr="00000000" w14:paraId="0000009B">
            <w:pPr>
              <w:spacing w:after="0" w:lineRule="auto"/>
              <w:jc w:val="left"/>
              <w:rPr>
                <w:b w:val="0"/>
                <w:sz w:val="18"/>
                <w:szCs w:val="18"/>
              </w:rPr>
            </w:pPr>
            <w:r w:rsidDel="00000000" w:rsidR="00000000" w:rsidRPr="00000000">
              <w:rPr>
                <w:b w:val="0"/>
                <w:sz w:val="18"/>
                <w:szCs w:val="18"/>
                <w:rtl w:val="0"/>
              </w:rPr>
              <w:t xml:space="preserve">Jeux Olympiques et Paralympiques / </w:t>
            </w:r>
          </w:p>
          <w:p w:rsidR="00000000" w:rsidDel="00000000" w:rsidP="00000000" w:rsidRDefault="00000000" w:rsidRPr="00000000" w14:paraId="0000009C">
            <w:pPr>
              <w:spacing w:after="0" w:lineRule="auto"/>
              <w:jc w:val="left"/>
              <w:rPr>
                <w:b w:val="0"/>
                <w:sz w:val="18"/>
                <w:szCs w:val="18"/>
              </w:rPr>
            </w:pPr>
            <w:r w:rsidDel="00000000" w:rsidR="00000000" w:rsidRPr="00000000">
              <w:rPr>
                <w:b w:val="0"/>
                <w:sz w:val="18"/>
                <w:szCs w:val="18"/>
                <w:rtl w:val="0"/>
              </w:rPr>
              <w:t xml:space="preserve">Jeux Olympiques / </w:t>
            </w:r>
          </w:p>
          <w:p w:rsidR="00000000" w:rsidDel="00000000" w:rsidP="00000000" w:rsidRDefault="00000000" w:rsidRPr="00000000" w14:paraId="0000009D">
            <w:pPr>
              <w:spacing w:after="0" w:lineRule="auto"/>
              <w:jc w:val="left"/>
              <w:rPr>
                <w:b w:val="0"/>
                <w:sz w:val="18"/>
                <w:szCs w:val="18"/>
              </w:rPr>
            </w:pPr>
            <w:r w:rsidDel="00000000" w:rsidR="00000000" w:rsidRPr="00000000">
              <w:rPr>
                <w:b w:val="0"/>
                <w:sz w:val="18"/>
                <w:szCs w:val="18"/>
                <w:rtl w:val="0"/>
              </w:rPr>
              <w:t xml:space="preserve">Jeux Paralympiques</w:t>
            </w:r>
          </w:p>
        </w:tc>
        <w:tc>
          <w:tcPr/>
          <w:p w:rsidR="00000000" w:rsidDel="00000000" w:rsidP="00000000" w:rsidRDefault="00000000" w:rsidRPr="00000000" w14:paraId="0000009E">
            <w:pPr>
              <w:spacing w:after="0" w:lineRule="auto"/>
              <w:jc w:val="center"/>
              <w:rPr>
                <w:sz w:val="18"/>
                <w:szCs w:val="18"/>
              </w:rPr>
            </w:pPr>
            <w:r w:rsidDel="00000000" w:rsidR="00000000" w:rsidRPr="00000000">
              <w:rPr>
                <w:sz w:val="18"/>
                <w:szCs w:val="18"/>
                <w:rtl w:val="0"/>
              </w:rPr>
              <w:t xml:space="preserve">Jeux /</w:t>
            </w:r>
          </w:p>
          <w:p w:rsidR="00000000" w:rsidDel="00000000" w:rsidP="00000000" w:rsidRDefault="00000000" w:rsidRPr="00000000" w14:paraId="0000009F">
            <w:pPr>
              <w:spacing w:after="0" w:lineRule="auto"/>
              <w:jc w:val="center"/>
              <w:rPr>
                <w:sz w:val="18"/>
                <w:szCs w:val="18"/>
              </w:rPr>
            </w:pPr>
            <w:r w:rsidDel="00000000" w:rsidR="00000000" w:rsidRPr="00000000">
              <w:rPr>
                <w:sz w:val="18"/>
                <w:szCs w:val="18"/>
                <w:rtl w:val="0"/>
              </w:rPr>
              <w:t xml:space="preserve">JO / </w:t>
            </w:r>
          </w:p>
          <w:p w:rsidR="00000000" w:rsidDel="00000000" w:rsidP="00000000" w:rsidRDefault="00000000" w:rsidRPr="00000000" w14:paraId="000000A0">
            <w:pPr>
              <w:spacing w:after="0" w:lineRule="auto"/>
              <w:jc w:val="center"/>
              <w:rPr>
                <w:sz w:val="18"/>
                <w:szCs w:val="18"/>
              </w:rPr>
            </w:pPr>
            <w:r w:rsidDel="00000000" w:rsidR="00000000" w:rsidRPr="00000000">
              <w:rPr>
                <w:sz w:val="18"/>
                <w:szCs w:val="18"/>
                <w:rtl w:val="0"/>
              </w:rPr>
              <w:t xml:space="preserve">JP / JOP</w:t>
            </w:r>
          </w:p>
        </w:tc>
        <w:tc>
          <w:tcPr/>
          <w:p w:rsidR="00000000" w:rsidDel="00000000" w:rsidP="00000000" w:rsidRDefault="00000000" w:rsidRPr="00000000" w14:paraId="000000A1">
            <w:pPr>
              <w:spacing w:after="0" w:lineRule="auto"/>
              <w:rPr>
                <w:sz w:val="18"/>
                <w:szCs w:val="18"/>
              </w:rPr>
            </w:pPr>
            <w:r w:rsidDel="00000000" w:rsidR="00000000" w:rsidRPr="00000000">
              <w:rPr>
                <w:sz w:val="18"/>
                <w:szCs w:val="18"/>
                <w:rtl w:val="0"/>
              </w:rPr>
              <w:t xml:space="preserve">Evénements sportifs internationaux réunissant des athlètes du monde entier pour des épreuves dans différentes compétitions. Organisé, sauf motif impérieux d’intérêt général, tous les 4 ans.</w:t>
            </w:r>
          </w:p>
        </w:tc>
      </w:tr>
      <w:tr>
        <w:trPr>
          <w:cantSplit w:val="0"/>
          <w:trHeight w:val="96" w:hRule="atLeast"/>
          <w:tblHeader w:val="0"/>
        </w:trPr>
        <w:tc>
          <w:tcPr/>
          <w:p w:rsidR="00000000" w:rsidDel="00000000" w:rsidP="00000000" w:rsidRDefault="00000000" w:rsidRPr="00000000" w14:paraId="000000A2">
            <w:pPr>
              <w:spacing w:after="0" w:lineRule="auto"/>
              <w:jc w:val="left"/>
              <w:rPr>
                <w:b w:val="0"/>
                <w:sz w:val="18"/>
                <w:szCs w:val="18"/>
              </w:rPr>
            </w:pPr>
            <w:r w:rsidDel="00000000" w:rsidR="00000000" w:rsidRPr="00000000">
              <w:rPr>
                <w:b w:val="0"/>
                <w:sz w:val="18"/>
                <w:szCs w:val="18"/>
                <w:rtl w:val="0"/>
              </w:rPr>
              <w:t xml:space="preserve">Master Delivery Schedule</w:t>
            </w:r>
          </w:p>
        </w:tc>
        <w:tc>
          <w:tcPr/>
          <w:p w:rsidR="00000000" w:rsidDel="00000000" w:rsidP="00000000" w:rsidRDefault="00000000" w:rsidRPr="00000000" w14:paraId="000000A3">
            <w:pPr>
              <w:spacing w:after="0" w:lineRule="auto"/>
              <w:jc w:val="center"/>
              <w:rPr>
                <w:sz w:val="18"/>
                <w:szCs w:val="18"/>
              </w:rPr>
            </w:pPr>
            <w:r w:rsidDel="00000000" w:rsidR="00000000" w:rsidRPr="00000000">
              <w:rPr>
                <w:sz w:val="18"/>
                <w:szCs w:val="18"/>
                <w:rtl w:val="0"/>
              </w:rPr>
              <w:t xml:space="preserve">MDS</w:t>
            </w:r>
          </w:p>
        </w:tc>
        <w:tc>
          <w:tcPr/>
          <w:p w:rsidR="00000000" w:rsidDel="00000000" w:rsidP="00000000" w:rsidRDefault="00000000" w:rsidRPr="00000000" w14:paraId="000000A4">
            <w:pPr>
              <w:spacing w:after="0" w:lineRule="auto"/>
              <w:rPr>
                <w:color w:val="404040"/>
                <w:sz w:val="18"/>
                <w:szCs w:val="18"/>
              </w:rPr>
            </w:pPr>
            <w:r w:rsidDel="00000000" w:rsidR="00000000" w:rsidRPr="00000000">
              <w:rPr>
                <w:color w:val="404040"/>
                <w:sz w:val="18"/>
                <w:szCs w:val="18"/>
                <w:rtl w:val="0"/>
              </w:rPr>
              <w:t xml:space="preserve">Système centralisé de gestion des livraisons. </w:t>
            </w:r>
          </w:p>
        </w:tc>
      </w:tr>
      <w:tr>
        <w:trPr>
          <w:cantSplit w:val="0"/>
          <w:trHeight w:val="96" w:hRule="atLeast"/>
          <w:tblHeader w:val="0"/>
        </w:trPr>
        <w:tc>
          <w:tcPr/>
          <w:p w:rsidR="00000000" w:rsidDel="00000000" w:rsidP="00000000" w:rsidRDefault="00000000" w:rsidRPr="00000000" w14:paraId="000000A5">
            <w:pPr>
              <w:spacing w:after="0" w:lineRule="auto"/>
              <w:jc w:val="left"/>
              <w:rPr>
                <w:b w:val="0"/>
                <w:sz w:val="18"/>
                <w:szCs w:val="18"/>
              </w:rPr>
            </w:pPr>
            <w:r w:rsidDel="00000000" w:rsidR="00000000" w:rsidRPr="00000000">
              <w:rPr>
                <w:b w:val="0"/>
                <w:sz w:val="18"/>
                <w:szCs w:val="18"/>
                <w:rtl w:val="0"/>
              </w:rPr>
              <w:t xml:space="preserve">Master Schedule</w:t>
            </w:r>
          </w:p>
        </w:tc>
        <w:tc>
          <w:tcPr/>
          <w:p w:rsidR="00000000" w:rsidDel="00000000" w:rsidP="00000000" w:rsidRDefault="00000000" w:rsidRPr="00000000" w14:paraId="000000A6">
            <w:pPr>
              <w:spacing w:after="0" w:lineRule="auto"/>
              <w:jc w:val="center"/>
              <w:rPr>
                <w:sz w:val="18"/>
                <w:szCs w:val="18"/>
              </w:rPr>
            </w:pPr>
            <w:r w:rsidDel="00000000" w:rsidR="00000000" w:rsidRPr="00000000">
              <w:rPr>
                <w:sz w:val="18"/>
                <w:szCs w:val="18"/>
                <w:rtl w:val="0"/>
              </w:rPr>
              <w:t xml:space="preserve">MS</w:t>
            </w:r>
          </w:p>
        </w:tc>
        <w:tc>
          <w:tcPr/>
          <w:p w:rsidR="00000000" w:rsidDel="00000000" w:rsidP="00000000" w:rsidRDefault="00000000" w:rsidRPr="00000000" w14:paraId="000000A7">
            <w:pPr>
              <w:spacing w:after="0" w:lineRule="auto"/>
              <w:rPr>
                <w:sz w:val="18"/>
                <w:szCs w:val="18"/>
              </w:rPr>
            </w:pPr>
            <w:r w:rsidDel="00000000" w:rsidR="00000000" w:rsidRPr="00000000">
              <w:rPr>
                <w:sz w:val="18"/>
                <w:szCs w:val="18"/>
                <w:rtl w:val="0"/>
              </w:rPr>
              <w:t xml:space="preserve">Outil de planification global regroupant l’ensemble des échéances clés et livrables à fournir dans le cadre de l’organisation des Jeux. </w:t>
            </w:r>
          </w:p>
        </w:tc>
      </w:tr>
      <w:tr>
        <w:trPr>
          <w:cantSplit w:val="0"/>
          <w:trHeight w:val="96" w:hRule="atLeast"/>
          <w:tblHeader w:val="0"/>
        </w:trPr>
        <w:tc>
          <w:tcPr/>
          <w:p w:rsidR="00000000" w:rsidDel="00000000" w:rsidP="00000000" w:rsidRDefault="00000000" w:rsidRPr="00000000" w14:paraId="000000A8">
            <w:pPr>
              <w:spacing w:after="0" w:lineRule="auto"/>
              <w:jc w:val="left"/>
              <w:rPr>
                <w:b w:val="0"/>
                <w:sz w:val="18"/>
                <w:szCs w:val="18"/>
              </w:rPr>
            </w:pPr>
            <w:r w:rsidDel="00000000" w:rsidR="00000000" w:rsidRPr="00000000">
              <w:rPr>
                <w:b w:val="0"/>
                <w:sz w:val="18"/>
                <w:szCs w:val="18"/>
                <w:rtl w:val="0"/>
              </w:rPr>
              <w:t xml:space="preserve">Minimum Garanti</w:t>
            </w:r>
          </w:p>
        </w:tc>
        <w:tc>
          <w:tcPr/>
          <w:p w:rsidR="00000000" w:rsidDel="00000000" w:rsidP="00000000" w:rsidRDefault="00000000" w:rsidRPr="00000000" w14:paraId="000000A9">
            <w:pPr>
              <w:spacing w:after="0" w:lineRule="auto"/>
              <w:jc w:val="center"/>
              <w:rPr>
                <w:sz w:val="18"/>
                <w:szCs w:val="18"/>
              </w:rPr>
            </w:pPr>
            <w:r w:rsidDel="00000000" w:rsidR="00000000" w:rsidRPr="00000000">
              <w:rPr>
                <w:sz w:val="18"/>
                <w:szCs w:val="18"/>
                <w:rtl w:val="0"/>
              </w:rPr>
              <w:t xml:space="preserve">MG</w:t>
            </w:r>
          </w:p>
        </w:tc>
        <w:tc>
          <w:tcPr/>
          <w:p w:rsidR="00000000" w:rsidDel="00000000" w:rsidP="00000000" w:rsidRDefault="00000000" w:rsidRPr="00000000" w14:paraId="000000AA">
            <w:pPr>
              <w:spacing w:after="0" w:lineRule="auto"/>
              <w:rPr>
                <w:sz w:val="18"/>
                <w:szCs w:val="18"/>
              </w:rPr>
            </w:pPr>
            <w:r w:rsidDel="00000000" w:rsidR="00000000" w:rsidRPr="00000000">
              <w:rPr>
                <w:sz w:val="18"/>
                <w:szCs w:val="18"/>
                <w:rtl w:val="0"/>
              </w:rPr>
              <w:t xml:space="preserve">Rémunération forfaitaire pour l’obtention de la licence d’exploitation des points de vente du site, payable par le Candidat retenu à Paris 2024.</w:t>
            </w:r>
          </w:p>
        </w:tc>
      </w:tr>
      <w:tr>
        <w:trPr>
          <w:cantSplit w:val="0"/>
          <w:trHeight w:val="822" w:hRule="atLeast"/>
          <w:tblHeader w:val="0"/>
        </w:trPr>
        <w:tc>
          <w:tcPr/>
          <w:p w:rsidR="00000000" w:rsidDel="00000000" w:rsidP="00000000" w:rsidRDefault="00000000" w:rsidRPr="00000000" w14:paraId="000000AB">
            <w:pPr>
              <w:spacing w:after="0" w:lineRule="auto"/>
              <w:jc w:val="left"/>
              <w:rPr>
                <w:b w:val="0"/>
                <w:sz w:val="18"/>
                <w:szCs w:val="18"/>
              </w:rPr>
            </w:pPr>
            <w:r w:rsidDel="00000000" w:rsidR="00000000" w:rsidRPr="00000000">
              <w:rPr>
                <w:b w:val="0"/>
                <w:sz w:val="18"/>
                <w:szCs w:val="18"/>
                <w:rtl w:val="0"/>
              </w:rPr>
              <w:t xml:space="preserve">Paris 2024 </w:t>
            </w:r>
          </w:p>
        </w:tc>
        <w:tc>
          <w:tcPr/>
          <w:p w:rsidR="00000000" w:rsidDel="00000000" w:rsidP="00000000" w:rsidRDefault="00000000" w:rsidRPr="00000000" w14:paraId="000000AC">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AD">
            <w:pPr>
              <w:spacing w:after="0" w:lineRule="auto"/>
              <w:rPr>
                <w:sz w:val="18"/>
                <w:szCs w:val="18"/>
              </w:rPr>
            </w:pPr>
            <w:r w:rsidDel="00000000" w:rsidR="00000000" w:rsidRPr="00000000">
              <w:rPr>
                <w:sz w:val="18"/>
                <w:szCs w:val="18"/>
                <w:rtl w:val="0"/>
              </w:rPr>
              <w:t xml:space="preserve">Comité d’organisation des Jeux d’été de 2024 en charge de planifier, organiser, financer, livrer les Jeux, ainsi que les événements associés ; de les promouvoir en France et à l’international, de participer aux actions visant à assurer leur durabilité et de contribuer à maximiser leur impact positif et leur héritage. Il assume, vis-à-vis du CIO et conjointement au CNO et à la Ville Hôte, les droits et obligations prévus au HCC et notamment les engagements pris par la Ville Hôte lors de la candidature.</w:t>
            </w:r>
          </w:p>
        </w:tc>
      </w:tr>
      <w:tr>
        <w:trPr>
          <w:cantSplit w:val="0"/>
          <w:trHeight w:val="1083" w:hRule="atLeast"/>
          <w:tblHeader w:val="0"/>
        </w:trPr>
        <w:tc>
          <w:tcPr/>
          <w:p w:rsidR="00000000" w:rsidDel="00000000" w:rsidP="00000000" w:rsidRDefault="00000000" w:rsidRPr="00000000" w14:paraId="000000AE">
            <w:pPr>
              <w:spacing w:after="0" w:lineRule="auto"/>
              <w:jc w:val="left"/>
              <w:rPr>
                <w:b w:val="0"/>
                <w:sz w:val="18"/>
                <w:szCs w:val="18"/>
              </w:rPr>
            </w:pPr>
            <w:r w:rsidDel="00000000" w:rsidR="00000000" w:rsidRPr="00000000">
              <w:rPr>
                <w:b w:val="0"/>
                <w:sz w:val="18"/>
                <w:szCs w:val="18"/>
                <w:rtl w:val="0"/>
              </w:rPr>
              <w:t xml:space="preserve">Partenaire Marketing</w:t>
            </w:r>
          </w:p>
        </w:tc>
        <w:tc>
          <w:tcPr/>
          <w:p w:rsidR="00000000" w:rsidDel="00000000" w:rsidP="00000000" w:rsidRDefault="00000000" w:rsidRPr="00000000" w14:paraId="000000AF">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B0">
            <w:pPr>
              <w:spacing w:after="0" w:lineRule="auto"/>
              <w:rPr>
                <w:sz w:val="18"/>
                <w:szCs w:val="18"/>
              </w:rPr>
            </w:pPr>
            <w:r w:rsidDel="00000000" w:rsidR="00000000" w:rsidRPr="00000000">
              <w:rPr>
                <w:sz w:val="18"/>
                <w:szCs w:val="18"/>
                <w:rtl w:val="0"/>
              </w:rPr>
              <w:t xml:space="preserve">Toute entité officielle désignée par Paris 2024 ou le CIO pour exploiter certains droits de partenariat et de marketing en relation avec les Jeux de Paris 2024 ; ces désignations, si elles impactent tout ou partie du présent Appel d’offre, seront communiquées au Candidat retenu en temps utile.</w:t>
            </w:r>
          </w:p>
        </w:tc>
      </w:tr>
      <w:tr>
        <w:trPr>
          <w:cantSplit w:val="0"/>
          <w:trHeight w:val="282" w:hRule="atLeast"/>
          <w:tblHeader w:val="0"/>
        </w:trPr>
        <w:tc>
          <w:tcPr/>
          <w:p w:rsidR="00000000" w:rsidDel="00000000" w:rsidP="00000000" w:rsidRDefault="00000000" w:rsidRPr="00000000" w14:paraId="000000B1">
            <w:pPr>
              <w:spacing w:after="0" w:lineRule="auto"/>
              <w:jc w:val="left"/>
              <w:rPr>
                <w:b w:val="0"/>
                <w:sz w:val="18"/>
                <w:szCs w:val="18"/>
              </w:rPr>
            </w:pPr>
            <w:r w:rsidDel="00000000" w:rsidR="00000000" w:rsidRPr="00000000">
              <w:rPr>
                <w:b w:val="0"/>
                <w:sz w:val="18"/>
                <w:szCs w:val="18"/>
                <w:rtl w:val="0"/>
              </w:rPr>
              <w:t xml:space="preserve">Pedestrian Screening Area</w:t>
            </w:r>
          </w:p>
        </w:tc>
        <w:tc>
          <w:tcPr/>
          <w:p w:rsidR="00000000" w:rsidDel="00000000" w:rsidP="00000000" w:rsidRDefault="00000000" w:rsidRPr="00000000" w14:paraId="000000B2">
            <w:pPr>
              <w:spacing w:after="0" w:lineRule="auto"/>
              <w:jc w:val="center"/>
              <w:rPr>
                <w:sz w:val="18"/>
                <w:szCs w:val="18"/>
              </w:rPr>
            </w:pPr>
            <w:r w:rsidDel="00000000" w:rsidR="00000000" w:rsidRPr="00000000">
              <w:rPr>
                <w:sz w:val="18"/>
                <w:szCs w:val="18"/>
                <w:rtl w:val="0"/>
              </w:rPr>
              <w:t xml:space="preserve">PSA</w:t>
            </w:r>
          </w:p>
        </w:tc>
        <w:tc>
          <w:tcPr/>
          <w:p w:rsidR="00000000" w:rsidDel="00000000" w:rsidP="00000000" w:rsidRDefault="00000000" w:rsidRPr="00000000" w14:paraId="000000B3">
            <w:pPr>
              <w:spacing w:after="0" w:lineRule="auto"/>
              <w:rPr>
                <w:sz w:val="18"/>
                <w:szCs w:val="18"/>
              </w:rPr>
            </w:pPr>
            <w:r w:rsidDel="00000000" w:rsidR="00000000" w:rsidRPr="00000000">
              <w:rPr>
                <w:sz w:val="18"/>
                <w:szCs w:val="18"/>
                <w:rtl w:val="0"/>
              </w:rPr>
              <w:t xml:space="preserve">Point de contrôle d’accès pour piétons souhaitant pénétrer dans le Périmètre de sécurité du site.</w:t>
            </w:r>
          </w:p>
        </w:tc>
      </w:tr>
      <w:tr>
        <w:trPr>
          <w:cantSplit w:val="0"/>
          <w:trHeight w:val="282" w:hRule="atLeast"/>
          <w:tblHeader w:val="0"/>
        </w:trPr>
        <w:tc>
          <w:tcPr/>
          <w:p w:rsidR="00000000" w:rsidDel="00000000" w:rsidP="00000000" w:rsidRDefault="00000000" w:rsidRPr="00000000" w14:paraId="000000B4">
            <w:pPr>
              <w:spacing w:after="0" w:lineRule="auto"/>
              <w:jc w:val="left"/>
              <w:rPr>
                <w:b w:val="0"/>
                <w:sz w:val="18"/>
                <w:szCs w:val="18"/>
              </w:rPr>
            </w:pPr>
            <w:r w:rsidDel="00000000" w:rsidR="00000000" w:rsidRPr="00000000">
              <w:rPr>
                <w:b w:val="0"/>
                <w:sz w:val="18"/>
                <w:szCs w:val="18"/>
                <w:rtl w:val="0"/>
              </w:rPr>
              <w:t xml:space="preserve">Périmètre de sécurité</w:t>
            </w:r>
          </w:p>
        </w:tc>
        <w:tc>
          <w:tcPr/>
          <w:p w:rsidR="00000000" w:rsidDel="00000000" w:rsidP="00000000" w:rsidRDefault="00000000" w:rsidRPr="00000000" w14:paraId="000000B5">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B6">
            <w:pPr>
              <w:spacing w:after="0" w:lineRule="auto"/>
              <w:rPr>
                <w:sz w:val="18"/>
                <w:szCs w:val="18"/>
              </w:rPr>
            </w:pPr>
            <w:r w:rsidDel="00000000" w:rsidR="00000000" w:rsidRPr="00000000">
              <w:rPr>
                <w:sz w:val="18"/>
                <w:szCs w:val="18"/>
                <w:rtl w:val="0"/>
              </w:rPr>
              <w:t xml:space="preserve">Périmètre sécurisé d’un site ou d’une enceinte, matérialisé par une frontière physique (exemple barrières). Les personnes et véhicules souhaitant entrer dans ce Périmètre de sécurité doivent obligatoirement être munis d’un titre d’accès (exemples : billet, CIAO/CIAP, passe de parking, etc.) et sont sujets au screening de sécurité avant de pouvoir accéder au site ou à l’enceinte. </w:t>
            </w:r>
          </w:p>
        </w:tc>
      </w:tr>
      <w:tr>
        <w:trPr>
          <w:cantSplit w:val="0"/>
          <w:trHeight w:val="282" w:hRule="atLeast"/>
          <w:tblHeader w:val="0"/>
        </w:trPr>
        <w:tc>
          <w:tcPr/>
          <w:p w:rsidR="00000000" w:rsidDel="00000000" w:rsidP="00000000" w:rsidRDefault="00000000" w:rsidRPr="00000000" w14:paraId="000000B7">
            <w:pPr>
              <w:spacing w:after="0" w:lineRule="auto"/>
              <w:jc w:val="left"/>
              <w:rPr>
                <w:b w:val="0"/>
                <w:sz w:val="18"/>
                <w:szCs w:val="18"/>
              </w:rPr>
            </w:pPr>
            <w:r w:rsidDel="00000000" w:rsidR="00000000" w:rsidRPr="00000000">
              <w:rPr>
                <w:b w:val="0"/>
                <w:sz w:val="18"/>
                <w:szCs w:val="18"/>
                <w:rtl w:val="0"/>
              </w:rPr>
              <w:t xml:space="preserve">Période d’exclusivité</w:t>
            </w:r>
          </w:p>
        </w:tc>
        <w:tc>
          <w:tcPr/>
          <w:p w:rsidR="00000000" w:rsidDel="00000000" w:rsidP="00000000" w:rsidRDefault="00000000" w:rsidRPr="00000000" w14:paraId="000000B8">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B9">
            <w:pPr>
              <w:spacing w:after="0" w:lineRule="auto"/>
              <w:rPr>
                <w:sz w:val="18"/>
                <w:szCs w:val="18"/>
              </w:rPr>
            </w:pPr>
            <w:r w:rsidDel="00000000" w:rsidR="00000000" w:rsidRPr="00000000">
              <w:rPr>
                <w:sz w:val="18"/>
                <w:szCs w:val="18"/>
                <w:rtl w:val="0"/>
              </w:rPr>
              <w:t xml:space="preserve">Période allant de la Cérémonie d’Ouverture des JO moins 2 mois à la Cérémonie de Clôture des JP plus 3 jours pendant laquelle Paris 2024 a l’exclusivité de la gestion et des accès du site. </w:t>
            </w:r>
          </w:p>
        </w:tc>
      </w:tr>
      <w:tr>
        <w:trPr>
          <w:cantSplit w:val="0"/>
          <w:trHeight w:val="893" w:hRule="atLeast"/>
          <w:tblHeader w:val="0"/>
        </w:trPr>
        <w:tc>
          <w:tcPr/>
          <w:p w:rsidR="00000000" w:rsidDel="00000000" w:rsidP="00000000" w:rsidRDefault="00000000" w:rsidRPr="00000000" w14:paraId="000000BA">
            <w:pPr>
              <w:spacing w:after="0" w:lineRule="auto"/>
              <w:jc w:val="left"/>
              <w:rPr>
                <w:b w:val="0"/>
                <w:sz w:val="18"/>
                <w:szCs w:val="18"/>
              </w:rPr>
            </w:pPr>
            <w:r w:rsidDel="00000000" w:rsidR="00000000" w:rsidRPr="00000000">
              <w:rPr>
                <w:b w:val="0"/>
                <w:sz w:val="18"/>
                <w:szCs w:val="18"/>
                <w:rtl w:val="0"/>
              </w:rPr>
              <w:t xml:space="preserve">Personne en situation de handicap</w:t>
            </w:r>
          </w:p>
        </w:tc>
        <w:tc>
          <w:tcPr/>
          <w:p w:rsidR="00000000" w:rsidDel="00000000" w:rsidP="00000000" w:rsidRDefault="00000000" w:rsidRPr="00000000" w14:paraId="000000BB">
            <w:pPr>
              <w:spacing w:after="0" w:lineRule="auto"/>
              <w:jc w:val="center"/>
              <w:rPr>
                <w:sz w:val="18"/>
                <w:szCs w:val="18"/>
              </w:rPr>
            </w:pPr>
            <w:r w:rsidDel="00000000" w:rsidR="00000000" w:rsidRPr="00000000">
              <w:rPr>
                <w:sz w:val="18"/>
                <w:szCs w:val="18"/>
                <w:rtl w:val="0"/>
              </w:rPr>
              <w:t xml:space="preserve">PSH</w:t>
            </w:r>
          </w:p>
        </w:tc>
        <w:tc>
          <w:tcPr/>
          <w:p w:rsidR="00000000" w:rsidDel="00000000" w:rsidP="00000000" w:rsidRDefault="00000000" w:rsidRPr="00000000" w14:paraId="000000BC">
            <w:pPr>
              <w:spacing w:after="0" w:lineRule="auto"/>
              <w:rPr>
                <w:sz w:val="18"/>
                <w:szCs w:val="18"/>
              </w:rPr>
            </w:pPr>
            <w:r w:rsidDel="00000000" w:rsidR="00000000" w:rsidRPr="00000000">
              <w:rPr>
                <w:sz w:val="18"/>
                <w:szCs w:val="18"/>
                <w:rtl w:val="0"/>
              </w:rPr>
              <w:t xml:space="preserve">Toute personne dont l’intégrité physique, sensorielle ou mentale est passagèrement ou définitivement diminuée, soit congénitalement, soit sous l’effet de l’âge ou d’un accident.</w:t>
            </w:r>
          </w:p>
        </w:tc>
      </w:tr>
      <w:tr>
        <w:trPr>
          <w:cantSplit w:val="0"/>
          <w:trHeight w:val="893" w:hRule="atLeast"/>
          <w:tblHeader w:val="0"/>
        </w:trPr>
        <w:tc>
          <w:tcPr/>
          <w:p w:rsidR="00000000" w:rsidDel="00000000" w:rsidP="00000000" w:rsidRDefault="00000000" w:rsidRPr="00000000" w14:paraId="000000BD">
            <w:pPr>
              <w:spacing w:after="0" w:lineRule="auto"/>
              <w:jc w:val="left"/>
              <w:rPr>
                <w:b w:val="0"/>
                <w:sz w:val="18"/>
                <w:szCs w:val="18"/>
              </w:rPr>
            </w:pPr>
            <w:r w:rsidDel="00000000" w:rsidR="00000000" w:rsidRPr="00000000">
              <w:rPr>
                <w:b w:val="0"/>
                <w:sz w:val="18"/>
                <w:szCs w:val="18"/>
                <w:rtl w:val="0"/>
              </w:rPr>
              <w:t xml:space="preserve">Phase de transition</w:t>
            </w:r>
          </w:p>
        </w:tc>
        <w:tc>
          <w:tcPr/>
          <w:p w:rsidR="00000000" w:rsidDel="00000000" w:rsidP="00000000" w:rsidRDefault="00000000" w:rsidRPr="00000000" w14:paraId="000000BE">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BF">
            <w:pPr>
              <w:spacing w:after="0" w:lineRule="auto"/>
              <w:rPr>
                <w:sz w:val="18"/>
                <w:szCs w:val="18"/>
              </w:rPr>
            </w:pPr>
            <w:r w:rsidDel="00000000" w:rsidR="00000000" w:rsidRPr="00000000">
              <w:rPr>
                <w:sz w:val="18"/>
                <w:szCs w:val="18"/>
                <w:rtl w:val="0"/>
              </w:rPr>
              <w:t xml:space="preserve">Période entre la Cérémonie de Clôture des JO et la Cérémonie d’Ouverture des JP nécessitant un aménagement spécifique de certains espaces pour répondre aux besoins des JP (accessibilité, pavoisement paralympique, signalétique etc.).</w:t>
            </w:r>
          </w:p>
        </w:tc>
      </w:tr>
      <w:tr>
        <w:trPr>
          <w:cantSplit w:val="0"/>
          <w:trHeight w:val="773" w:hRule="atLeast"/>
          <w:tblHeader w:val="0"/>
        </w:trPr>
        <w:tc>
          <w:tcPr/>
          <w:p w:rsidR="00000000" w:rsidDel="00000000" w:rsidP="00000000" w:rsidRDefault="00000000" w:rsidRPr="00000000" w14:paraId="000000C0">
            <w:pPr>
              <w:spacing w:after="0" w:lineRule="auto"/>
              <w:jc w:val="left"/>
              <w:rPr>
                <w:b w:val="0"/>
                <w:sz w:val="18"/>
                <w:szCs w:val="18"/>
              </w:rPr>
            </w:pPr>
            <w:r w:rsidDel="00000000" w:rsidR="00000000" w:rsidRPr="00000000">
              <w:rPr>
                <w:b w:val="0"/>
                <w:sz w:val="18"/>
                <w:szCs w:val="18"/>
                <w:rtl w:val="0"/>
              </w:rPr>
              <w:t xml:space="preserve">Plan de continuité de l’activité</w:t>
            </w:r>
          </w:p>
        </w:tc>
        <w:tc>
          <w:tcPr/>
          <w:p w:rsidR="00000000" w:rsidDel="00000000" w:rsidP="00000000" w:rsidRDefault="00000000" w:rsidRPr="00000000" w14:paraId="000000C1">
            <w:pPr>
              <w:spacing w:after="0" w:lineRule="auto"/>
              <w:jc w:val="center"/>
              <w:rPr>
                <w:sz w:val="18"/>
                <w:szCs w:val="18"/>
              </w:rPr>
            </w:pPr>
            <w:r w:rsidDel="00000000" w:rsidR="00000000" w:rsidRPr="00000000">
              <w:rPr>
                <w:sz w:val="18"/>
                <w:szCs w:val="18"/>
                <w:rtl w:val="0"/>
              </w:rPr>
              <w:t xml:space="preserve">PCA</w:t>
            </w:r>
          </w:p>
        </w:tc>
        <w:tc>
          <w:tcPr/>
          <w:p w:rsidR="00000000" w:rsidDel="00000000" w:rsidP="00000000" w:rsidRDefault="00000000" w:rsidRPr="00000000" w14:paraId="000000C2">
            <w:pPr>
              <w:spacing w:after="0" w:lineRule="auto"/>
              <w:rPr>
                <w:sz w:val="18"/>
                <w:szCs w:val="18"/>
              </w:rPr>
            </w:pPr>
            <w:r w:rsidDel="00000000" w:rsidR="00000000" w:rsidRPr="00000000">
              <w:rPr>
                <w:sz w:val="18"/>
                <w:szCs w:val="18"/>
                <w:rtl w:val="0"/>
              </w:rPr>
              <w:t xml:space="preserve">Désigne l’ensemble des procédures décrivant les moyens mis en œuvre par le Candidat retenu pour assurer un fonctionnement des opérations en cas de perturbation lourde mettant en péril la livraison des services. </w:t>
            </w:r>
          </w:p>
        </w:tc>
      </w:tr>
      <w:tr>
        <w:trPr>
          <w:cantSplit w:val="0"/>
          <w:trHeight w:val="486" w:hRule="atLeast"/>
          <w:tblHeader w:val="0"/>
        </w:trPr>
        <w:tc>
          <w:tcPr/>
          <w:p w:rsidR="00000000" w:rsidDel="00000000" w:rsidP="00000000" w:rsidRDefault="00000000" w:rsidRPr="00000000" w14:paraId="000000C3">
            <w:pPr>
              <w:spacing w:after="0" w:lineRule="auto"/>
              <w:jc w:val="left"/>
              <w:rPr>
                <w:b w:val="0"/>
                <w:sz w:val="18"/>
                <w:szCs w:val="18"/>
              </w:rPr>
            </w:pPr>
            <w:r w:rsidDel="00000000" w:rsidR="00000000" w:rsidRPr="00000000">
              <w:rPr>
                <w:b w:val="0"/>
                <w:sz w:val="18"/>
                <w:szCs w:val="18"/>
                <w:rtl w:val="0"/>
              </w:rPr>
              <w:t xml:space="preserve">Plan de maîtrise sanitaire</w:t>
            </w:r>
          </w:p>
        </w:tc>
        <w:tc>
          <w:tcPr/>
          <w:p w:rsidR="00000000" w:rsidDel="00000000" w:rsidP="00000000" w:rsidRDefault="00000000" w:rsidRPr="00000000" w14:paraId="000000C4">
            <w:pPr>
              <w:spacing w:after="0" w:lineRule="auto"/>
              <w:jc w:val="center"/>
              <w:rPr>
                <w:sz w:val="18"/>
                <w:szCs w:val="18"/>
              </w:rPr>
            </w:pPr>
            <w:r w:rsidDel="00000000" w:rsidR="00000000" w:rsidRPr="00000000">
              <w:rPr>
                <w:sz w:val="18"/>
                <w:szCs w:val="18"/>
                <w:rtl w:val="0"/>
              </w:rPr>
              <w:t xml:space="preserve">PMS</w:t>
            </w:r>
          </w:p>
        </w:tc>
        <w:tc>
          <w:tcPr/>
          <w:p w:rsidR="00000000" w:rsidDel="00000000" w:rsidP="00000000" w:rsidRDefault="00000000" w:rsidRPr="00000000" w14:paraId="000000C5">
            <w:pPr>
              <w:spacing w:after="0" w:lineRule="auto"/>
              <w:rPr>
                <w:sz w:val="18"/>
                <w:szCs w:val="18"/>
              </w:rPr>
            </w:pPr>
            <w:r w:rsidDel="00000000" w:rsidR="00000000" w:rsidRPr="00000000">
              <w:rPr>
                <w:sz w:val="18"/>
                <w:szCs w:val="18"/>
                <w:rtl w:val="0"/>
              </w:rPr>
              <w:t xml:space="preserve">Désigne l'ensemble des procédures décrivant les moyens mis en œuvre par le Candidat retenu pour assurer l’hygiène et la sécurité alimentaire de ses productions.</w:t>
            </w:r>
          </w:p>
        </w:tc>
      </w:tr>
      <w:tr>
        <w:trPr>
          <w:cantSplit w:val="0"/>
          <w:trHeight w:val="626" w:hRule="atLeast"/>
          <w:tblHeader w:val="0"/>
        </w:trPr>
        <w:tc>
          <w:tcPr/>
          <w:p w:rsidR="00000000" w:rsidDel="00000000" w:rsidP="00000000" w:rsidRDefault="00000000" w:rsidRPr="00000000" w14:paraId="000000C6">
            <w:pPr>
              <w:spacing w:after="0" w:lineRule="auto"/>
              <w:jc w:val="left"/>
              <w:rPr>
                <w:b w:val="0"/>
                <w:sz w:val="18"/>
                <w:szCs w:val="18"/>
              </w:rPr>
            </w:pPr>
            <w:r w:rsidDel="00000000" w:rsidR="00000000" w:rsidRPr="00000000">
              <w:rPr>
                <w:b w:val="0"/>
                <w:sz w:val="18"/>
                <w:szCs w:val="18"/>
                <w:rtl w:val="0"/>
              </w:rPr>
              <w:t xml:space="preserve">Programme de certification des fournisseurs (Vendor Certification Program)</w:t>
            </w:r>
          </w:p>
        </w:tc>
        <w:tc>
          <w:tcPr/>
          <w:p w:rsidR="00000000" w:rsidDel="00000000" w:rsidP="00000000" w:rsidRDefault="00000000" w:rsidRPr="00000000" w14:paraId="000000C7">
            <w:pPr>
              <w:spacing w:after="0" w:lineRule="auto"/>
              <w:jc w:val="center"/>
              <w:rPr>
                <w:sz w:val="18"/>
                <w:szCs w:val="18"/>
              </w:rPr>
            </w:pPr>
            <w:r w:rsidDel="00000000" w:rsidR="00000000" w:rsidRPr="00000000">
              <w:rPr>
                <w:sz w:val="18"/>
                <w:szCs w:val="18"/>
                <w:rtl w:val="0"/>
              </w:rPr>
              <w:t xml:space="preserve">VCP</w:t>
            </w:r>
          </w:p>
        </w:tc>
        <w:tc>
          <w:tcPr/>
          <w:p w:rsidR="00000000" w:rsidDel="00000000" w:rsidP="00000000" w:rsidRDefault="00000000" w:rsidRPr="00000000" w14:paraId="000000C8">
            <w:pPr>
              <w:spacing w:after="0" w:lineRule="auto"/>
              <w:rPr>
                <w:color w:val="404040"/>
                <w:sz w:val="18"/>
                <w:szCs w:val="18"/>
              </w:rPr>
            </w:pPr>
            <w:r w:rsidDel="00000000" w:rsidR="00000000" w:rsidRPr="00000000">
              <w:rPr>
                <w:color w:val="404040"/>
                <w:sz w:val="18"/>
                <w:szCs w:val="18"/>
                <w:rtl w:val="0"/>
              </w:rPr>
              <w:t xml:space="preserve">Programme définissant l’ensemble des mesures de sécurité que les fournisseurs doivent respecter pour devenir fournisseur certifié. </w:t>
            </w:r>
          </w:p>
        </w:tc>
      </w:tr>
      <w:tr>
        <w:trPr>
          <w:cantSplit w:val="0"/>
          <w:trHeight w:val="626" w:hRule="atLeast"/>
          <w:tblHeader w:val="0"/>
        </w:trPr>
        <w:tc>
          <w:tcPr/>
          <w:p w:rsidR="00000000" w:rsidDel="00000000" w:rsidP="00000000" w:rsidRDefault="00000000" w:rsidRPr="00000000" w14:paraId="000000C9">
            <w:pPr>
              <w:spacing w:after="0" w:lineRule="auto"/>
              <w:jc w:val="left"/>
              <w:rPr>
                <w:b w:val="0"/>
                <w:sz w:val="18"/>
                <w:szCs w:val="18"/>
              </w:rPr>
            </w:pPr>
            <w:r w:rsidDel="00000000" w:rsidR="00000000" w:rsidRPr="00000000">
              <w:rPr>
                <w:b w:val="0"/>
                <w:sz w:val="18"/>
                <w:szCs w:val="18"/>
                <w:rtl w:val="0"/>
              </w:rPr>
              <w:t xml:space="preserve">Services </w:t>
            </w:r>
          </w:p>
        </w:tc>
        <w:tc>
          <w:tcPr/>
          <w:p w:rsidR="00000000" w:rsidDel="00000000" w:rsidP="00000000" w:rsidRDefault="00000000" w:rsidRPr="00000000" w14:paraId="000000CA">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CB">
            <w:pPr>
              <w:spacing w:after="0" w:lineRule="auto"/>
              <w:rPr>
                <w:sz w:val="18"/>
                <w:szCs w:val="18"/>
              </w:rPr>
            </w:pPr>
            <w:r w:rsidDel="00000000" w:rsidR="00000000" w:rsidRPr="00000000">
              <w:rPr>
                <w:sz w:val="18"/>
                <w:szCs w:val="18"/>
                <w:rtl w:val="0"/>
              </w:rPr>
              <w:t xml:space="preserve">Les biens et / ou services à fournir par le Candidat retenu conformément à l’Appel d’offre et tels que décrits dans ce Cahier des Charges.</w:t>
            </w:r>
          </w:p>
        </w:tc>
      </w:tr>
      <w:tr>
        <w:trPr>
          <w:cantSplit w:val="0"/>
          <w:trHeight w:val="626" w:hRule="atLeast"/>
          <w:tblHeader w:val="0"/>
        </w:trPr>
        <w:tc>
          <w:tcPr/>
          <w:p w:rsidR="00000000" w:rsidDel="00000000" w:rsidP="00000000" w:rsidRDefault="00000000" w:rsidRPr="00000000" w14:paraId="000000CC">
            <w:pPr>
              <w:spacing w:after="0" w:lineRule="auto"/>
              <w:jc w:val="left"/>
              <w:rPr>
                <w:b w:val="0"/>
                <w:sz w:val="18"/>
                <w:szCs w:val="18"/>
              </w:rPr>
            </w:pPr>
            <w:r w:rsidDel="00000000" w:rsidR="00000000" w:rsidRPr="00000000">
              <w:rPr>
                <w:b w:val="0"/>
                <w:sz w:val="18"/>
                <w:szCs w:val="18"/>
                <w:rtl w:val="0"/>
              </w:rPr>
              <w:t xml:space="preserve">Service Level Agreement</w:t>
            </w:r>
          </w:p>
        </w:tc>
        <w:tc>
          <w:tcPr/>
          <w:p w:rsidR="00000000" w:rsidDel="00000000" w:rsidP="00000000" w:rsidRDefault="00000000" w:rsidRPr="00000000" w14:paraId="000000CD">
            <w:pPr>
              <w:spacing w:after="0" w:lineRule="auto"/>
              <w:jc w:val="center"/>
              <w:rPr>
                <w:sz w:val="18"/>
                <w:szCs w:val="18"/>
              </w:rPr>
            </w:pPr>
            <w:r w:rsidDel="00000000" w:rsidR="00000000" w:rsidRPr="00000000">
              <w:rPr>
                <w:sz w:val="18"/>
                <w:szCs w:val="18"/>
                <w:rtl w:val="0"/>
              </w:rPr>
              <w:t xml:space="preserve">SLA</w:t>
            </w:r>
          </w:p>
        </w:tc>
        <w:tc>
          <w:tcPr/>
          <w:p w:rsidR="00000000" w:rsidDel="00000000" w:rsidP="00000000" w:rsidRDefault="00000000" w:rsidRPr="00000000" w14:paraId="000000CE">
            <w:pPr>
              <w:spacing w:after="0" w:lineRule="auto"/>
              <w:rPr>
                <w:sz w:val="18"/>
                <w:szCs w:val="18"/>
              </w:rPr>
            </w:pPr>
            <w:r w:rsidDel="00000000" w:rsidR="00000000" w:rsidRPr="00000000">
              <w:rPr>
                <w:sz w:val="18"/>
                <w:szCs w:val="18"/>
                <w:rtl w:val="0"/>
              </w:rPr>
              <w:t xml:space="preserve">Clauses basées sur un contrat définissant les objectifs précis attendus et le niveau de service que Paris 2024 souhaite obtenir de la part du Candidat retenu.  </w:t>
            </w:r>
          </w:p>
        </w:tc>
      </w:tr>
      <w:tr>
        <w:trPr>
          <w:cantSplit w:val="0"/>
          <w:trHeight w:val="282" w:hRule="atLeast"/>
          <w:tblHeader w:val="0"/>
        </w:trPr>
        <w:tc>
          <w:tcPr/>
          <w:p w:rsidR="00000000" w:rsidDel="00000000" w:rsidP="00000000" w:rsidRDefault="00000000" w:rsidRPr="00000000" w14:paraId="000000CF">
            <w:pPr>
              <w:spacing w:after="0" w:lineRule="auto"/>
              <w:jc w:val="left"/>
              <w:rPr>
                <w:b w:val="0"/>
                <w:sz w:val="18"/>
                <w:szCs w:val="18"/>
              </w:rPr>
            </w:pPr>
            <w:r w:rsidDel="00000000" w:rsidR="00000000" w:rsidRPr="00000000">
              <w:rPr>
                <w:b w:val="0"/>
                <w:sz w:val="18"/>
                <w:szCs w:val="18"/>
                <w:rtl w:val="0"/>
              </w:rPr>
              <w:t xml:space="preserve">Site de contrôle déporté (Remote Materia Screening Site)</w:t>
            </w:r>
          </w:p>
        </w:tc>
        <w:tc>
          <w:tcPr/>
          <w:p w:rsidR="00000000" w:rsidDel="00000000" w:rsidP="00000000" w:rsidRDefault="00000000" w:rsidRPr="00000000" w14:paraId="000000D0">
            <w:pPr>
              <w:spacing w:after="0" w:lineRule="auto"/>
              <w:jc w:val="center"/>
              <w:rPr>
                <w:sz w:val="18"/>
                <w:szCs w:val="18"/>
              </w:rPr>
            </w:pPr>
            <w:r w:rsidDel="00000000" w:rsidR="00000000" w:rsidRPr="00000000">
              <w:rPr>
                <w:sz w:val="18"/>
                <w:szCs w:val="18"/>
                <w:rtl w:val="0"/>
              </w:rPr>
              <w:t xml:space="preserve">RMSS</w:t>
            </w:r>
          </w:p>
        </w:tc>
        <w:tc>
          <w:tcPr/>
          <w:p w:rsidR="00000000" w:rsidDel="00000000" w:rsidP="00000000" w:rsidRDefault="00000000" w:rsidRPr="00000000" w14:paraId="000000D1">
            <w:pPr>
              <w:spacing w:after="0" w:lineRule="auto"/>
              <w:rPr>
                <w:sz w:val="18"/>
                <w:szCs w:val="18"/>
              </w:rPr>
            </w:pPr>
            <w:r w:rsidDel="00000000" w:rsidR="00000000" w:rsidRPr="00000000">
              <w:rPr>
                <w:sz w:val="18"/>
                <w:szCs w:val="18"/>
                <w:rtl w:val="0"/>
              </w:rPr>
              <w:t xml:space="preserve">Zone organisée par Paris 2024 pour l’accueil de l’ensemble de livraisons, où les véhicules, les marchandises, les chauffeurs et passagers font l’objet de contrôles. </w:t>
            </w:r>
          </w:p>
        </w:tc>
      </w:tr>
      <w:tr>
        <w:trPr>
          <w:cantSplit w:val="0"/>
          <w:trHeight w:val="282" w:hRule="atLeast"/>
          <w:tblHeader w:val="0"/>
        </w:trPr>
        <w:tc>
          <w:tcPr/>
          <w:p w:rsidR="00000000" w:rsidDel="00000000" w:rsidP="00000000" w:rsidRDefault="00000000" w:rsidRPr="00000000" w14:paraId="000000D2">
            <w:pPr>
              <w:spacing w:after="0" w:lineRule="auto"/>
              <w:jc w:val="left"/>
              <w:rPr>
                <w:b w:val="0"/>
                <w:sz w:val="18"/>
                <w:szCs w:val="18"/>
              </w:rPr>
            </w:pPr>
            <w:r w:rsidDel="00000000" w:rsidR="00000000" w:rsidRPr="00000000">
              <w:rPr>
                <w:b w:val="0"/>
                <w:sz w:val="18"/>
                <w:szCs w:val="18"/>
                <w:rtl w:val="0"/>
              </w:rPr>
              <w:t xml:space="preserve">Value in Kind</w:t>
            </w:r>
          </w:p>
        </w:tc>
        <w:tc>
          <w:tcPr/>
          <w:p w:rsidR="00000000" w:rsidDel="00000000" w:rsidP="00000000" w:rsidRDefault="00000000" w:rsidRPr="00000000" w14:paraId="000000D3">
            <w:pPr>
              <w:spacing w:after="0" w:lineRule="auto"/>
              <w:jc w:val="center"/>
              <w:rPr>
                <w:sz w:val="18"/>
                <w:szCs w:val="18"/>
              </w:rPr>
            </w:pPr>
            <w:r w:rsidDel="00000000" w:rsidR="00000000" w:rsidRPr="00000000">
              <w:rPr>
                <w:sz w:val="18"/>
                <w:szCs w:val="18"/>
                <w:rtl w:val="0"/>
              </w:rPr>
              <w:t xml:space="preserve">VIK</w:t>
            </w:r>
          </w:p>
        </w:tc>
        <w:tc>
          <w:tcPr/>
          <w:p w:rsidR="00000000" w:rsidDel="00000000" w:rsidP="00000000" w:rsidRDefault="00000000" w:rsidRPr="00000000" w14:paraId="000000D4">
            <w:pPr>
              <w:spacing w:after="0" w:lineRule="auto"/>
              <w:rPr>
                <w:sz w:val="18"/>
                <w:szCs w:val="18"/>
              </w:rPr>
            </w:pPr>
            <w:r w:rsidDel="00000000" w:rsidR="00000000" w:rsidRPr="00000000">
              <w:rPr>
                <w:sz w:val="18"/>
                <w:szCs w:val="18"/>
                <w:rtl w:val="0"/>
              </w:rPr>
              <w:t xml:space="preserve">Apport en nature résultant d’accords de partenariat donnant certains droits aux Partenaires Marketing en échange d’une dotation en marchandises.</w:t>
            </w:r>
          </w:p>
        </w:tc>
      </w:tr>
      <w:tr>
        <w:trPr>
          <w:cantSplit w:val="0"/>
          <w:trHeight w:val="282" w:hRule="atLeast"/>
          <w:tblHeader w:val="0"/>
        </w:trPr>
        <w:tc>
          <w:tcPr/>
          <w:p w:rsidR="00000000" w:rsidDel="00000000" w:rsidP="00000000" w:rsidRDefault="00000000" w:rsidRPr="00000000" w14:paraId="000000D5">
            <w:pPr>
              <w:spacing w:after="0" w:lineRule="auto"/>
              <w:jc w:val="left"/>
              <w:rPr>
                <w:b w:val="0"/>
                <w:sz w:val="18"/>
                <w:szCs w:val="18"/>
              </w:rPr>
            </w:pPr>
            <w:r w:rsidDel="00000000" w:rsidR="00000000" w:rsidRPr="00000000">
              <w:rPr>
                <w:b w:val="0"/>
                <w:sz w:val="18"/>
                <w:szCs w:val="18"/>
                <w:rtl w:val="0"/>
              </w:rPr>
              <w:t xml:space="preserve">Vehicle Access Parking Permit</w:t>
            </w:r>
          </w:p>
        </w:tc>
        <w:tc>
          <w:tcPr/>
          <w:p w:rsidR="00000000" w:rsidDel="00000000" w:rsidP="00000000" w:rsidRDefault="00000000" w:rsidRPr="00000000" w14:paraId="000000D6">
            <w:pPr>
              <w:spacing w:after="0" w:lineRule="auto"/>
              <w:jc w:val="center"/>
              <w:rPr>
                <w:sz w:val="18"/>
                <w:szCs w:val="18"/>
              </w:rPr>
            </w:pPr>
            <w:r w:rsidDel="00000000" w:rsidR="00000000" w:rsidRPr="00000000">
              <w:rPr>
                <w:sz w:val="18"/>
                <w:szCs w:val="18"/>
                <w:rtl w:val="0"/>
              </w:rPr>
              <w:t xml:space="preserve">VAPP</w:t>
            </w:r>
          </w:p>
        </w:tc>
        <w:tc>
          <w:tcPr/>
          <w:p w:rsidR="00000000" w:rsidDel="00000000" w:rsidP="00000000" w:rsidRDefault="00000000" w:rsidRPr="00000000" w14:paraId="000000D7">
            <w:pPr>
              <w:spacing w:after="0" w:lineRule="auto"/>
              <w:rPr>
                <w:sz w:val="18"/>
                <w:szCs w:val="18"/>
              </w:rPr>
            </w:pPr>
            <w:r w:rsidDel="00000000" w:rsidR="00000000" w:rsidRPr="00000000">
              <w:rPr>
                <w:sz w:val="18"/>
                <w:szCs w:val="18"/>
                <w:rtl w:val="0"/>
              </w:rPr>
              <w:t xml:space="preserve">Permis pour véhicules édité par Paris 2024, autorisant l’accès à un site.</w:t>
            </w:r>
          </w:p>
        </w:tc>
      </w:tr>
      <w:tr>
        <w:trPr>
          <w:cantSplit w:val="0"/>
          <w:trHeight w:val="282" w:hRule="atLeast"/>
          <w:tblHeader w:val="0"/>
        </w:trPr>
        <w:tc>
          <w:tcPr/>
          <w:p w:rsidR="00000000" w:rsidDel="00000000" w:rsidP="00000000" w:rsidRDefault="00000000" w:rsidRPr="00000000" w14:paraId="000000D8">
            <w:pPr>
              <w:spacing w:after="0" w:lineRule="auto"/>
              <w:jc w:val="left"/>
              <w:rPr>
                <w:b w:val="0"/>
                <w:sz w:val="18"/>
                <w:szCs w:val="18"/>
              </w:rPr>
            </w:pPr>
            <w:r w:rsidDel="00000000" w:rsidR="00000000" w:rsidRPr="00000000">
              <w:rPr>
                <w:b w:val="0"/>
                <w:sz w:val="18"/>
                <w:szCs w:val="18"/>
                <w:rtl w:val="0"/>
              </w:rPr>
              <w:t xml:space="preserve">Vehicle Screening Area</w:t>
            </w:r>
          </w:p>
        </w:tc>
        <w:tc>
          <w:tcPr/>
          <w:p w:rsidR="00000000" w:rsidDel="00000000" w:rsidP="00000000" w:rsidRDefault="00000000" w:rsidRPr="00000000" w14:paraId="000000D9">
            <w:pPr>
              <w:spacing w:after="0" w:lineRule="auto"/>
              <w:jc w:val="center"/>
              <w:rPr>
                <w:sz w:val="18"/>
                <w:szCs w:val="18"/>
              </w:rPr>
            </w:pPr>
            <w:r w:rsidDel="00000000" w:rsidR="00000000" w:rsidRPr="00000000">
              <w:rPr>
                <w:sz w:val="18"/>
                <w:szCs w:val="18"/>
                <w:rtl w:val="0"/>
              </w:rPr>
              <w:t xml:space="preserve">VSA</w:t>
            </w:r>
          </w:p>
        </w:tc>
        <w:tc>
          <w:tcPr/>
          <w:p w:rsidR="00000000" w:rsidDel="00000000" w:rsidP="00000000" w:rsidRDefault="00000000" w:rsidRPr="00000000" w14:paraId="000000DA">
            <w:pPr>
              <w:spacing w:after="0" w:lineRule="auto"/>
              <w:rPr>
                <w:sz w:val="18"/>
                <w:szCs w:val="18"/>
              </w:rPr>
            </w:pPr>
            <w:r w:rsidDel="00000000" w:rsidR="00000000" w:rsidRPr="00000000">
              <w:rPr>
                <w:sz w:val="18"/>
                <w:szCs w:val="18"/>
                <w:rtl w:val="0"/>
              </w:rPr>
              <w:t xml:space="preserve">Point de contrôle d’accès des véhicules et du transfert du matériel à l’entrée du Périmètre de sécurité du site.</w:t>
            </w:r>
          </w:p>
        </w:tc>
      </w:tr>
      <w:tr>
        <w:trPr>
          <w:cantSplit w:val="0"/>
          <w:trHeight w:val="386" w:hRule="atLeast"/>
          <w:tblHeader w:val="0"/>
        </w:trPr>
        <w:tc>
          <w:tcPr/>
          <w:p w:rsidR="00000000" w:rsidDel="00000000" w:rsidP="00000000" w:rsidRDefault="00000000" w:rsidRPr="00000000" w14:paraId="000000DB">
            <w:pPr>
              <w:spacing w:after="0" w:lineRule="auto"/>
              <w:jc w:val="left"/>
              <w:rPr>
                <w:b w:val="0"/>
                <w:sz w:val="18"/>
                <w:szCs w:val="18"/>
              </w:rPr>
            </w:pPr>
            <w:r w:rsidDel="00000000" w:rsidR="00000000" w:rsidRPr="00000000">
              <w:rPr>
                <w:b w:val="0"/>
                <w:sz w:val="18"/>
                <w:szCs w:val="18"/>
                <w:rtl w:val="0"/>
              </w:rPr>
              <w:t xml:space="preserve">Venue Use Agreement</w:t>
            </w:r>
          </w:p>
        </w:tc>
        <w:tc>
          <w:tcPr/>
          <w:p w:rsidR="00000000" w:rsidDel="00000000" w:rsidP="00000000" w:rsidRDefault="00000000" w:rsidRPr="00000000" w14:paraId="000000DC">
            <w:pPr>
              <w:spacing w:after="0" w:lineRule="auto"/>
              <w:jc w:val="center"/>
              <w:rPr>
                <w:sz w:val="18"/>
                <w:szCs w:val="18"/>
              </w:rPr>
            </w:pPr>
            <w:r w:rsidDel="00000000" w:rsidR="00000000" w:rsidRPr="00000000">
              <w:rPr>
                <w:sz w:val="18"/>
                <w:szCs w:val="18"/>
                <w:rtl w:val="0"/>
              </w:rPr>
              <w:t xml:space="preserve">VUA</w:t>
            </w:r>
          </w:p>
        </w:tc>
        <w:tc>
          <w:tcPr/>
          <w:p w:rsidR="00000000" w:rsidDel="00000000" w:rsidP="00000000" w:rsidRDefault="00000000" w:rsidRPr="00000000" w14:paraId="000000DD">
            <w:pPr>
              <w:spacing w:after="0" w:lineRule="auto"/>
              <w:rPr>
                <w:sz w:val="18"/>
                <w:szCs w:val="18"/>
              </w:rPr>
            </w:pPr>
            <w:r w:rsidDel="00000000" w:rsidR="00000000" w:rsidRPr="00000000">
              <w:rPr>
                <w:sz w:val="18"/>
                <w:szCs w:val="18"/>
                <w:rtl w:val="0"/>
              </w:rPr>
              <w:t xml:space="preserve">Contrat entre Paris 2024 et le propriétaire de site définissant les termes d’utilisation du site y compris la location des installations, les dates d’occupation, le staff et les équipements mis à disposition, les frais utilitaires etc.</w:t>
            </w:r>
          </w:p>
        </w:tc>
      </w:tr>
      <w:tr>
        <w:trPr>
          <w:cantSplit w:val="0"/>
          <w:trHeight w:val="386" w:hRule="atLeast"/>
          <w:tblHeader w:val="0"/>
        </w:trPr>
        <w:tc>
          <w:tcPr/>
          <w:p w:rsidR="00000000" w:rsidDel="00000000" w:rsidP="00000000" w:rsidRDefault="00000000" w:rsidRPr="00000000" w14:paraId="000000DE">
            <w:pPr>
              <w:spacing w:after="0" w:lineRule="auto"/>
              <w:jc w:val="left"/>
              <w:rPr>
                <w:b w:val="0"/>
                <w:sz w:val="18"/>
                <w:szCs w:val="18"/>
              </w:rPr>
            </w:pPr>
            <w:r w:rsidDel="00000000" w:rsidR="00000000" w:rsidRPr="00000000">
              <w:rPr>
                <w:b w:val="0"/>
                <w:sz w:val="18"/>
                <w:szCs w:val="18"/>
                <w:rtl w:val="0"/>
              </w:rPr>
              <w:t xml:space="preserve">Ville Hôte (Host City)</w:t>
            </w:r>
          </w:p>
        </w:tc>
        <w:tc>
          <w:tcPr/>
          <w:p w:rsidR="00000000" w:rsidDel="00000000" w:rsidP="00000000" w:rsidRDefault="00000000" w:rsidRPr="00000000" w14:paraId="000000DF">
            <w:pPr>
              <w:spacing w:after="0" w:lineRule="auto"/>
              <w:jc w:val="center"/>
              <w:rPr>
                <w:sz w:val="18"/>
                <w:szCs w:val="18"/>
              </w:rPr>
            </w:pPr>
            <w:r w:rsidDel="00000000" w:rsidR="00000000" w:rsidRPr="00000000">
              <w:rPr>
                <w:sz w:val="18"/>
                <w:szCs w:val="18"/>
                <w:rtl w:val="0"/>
              </w:rPr>
              <w:t xml:space="preserve">HC</w:t>
            </w:r>
          </w:p>
        </w:tc>
        <w:tc>
          <w:tcPr/>
          <w:p w:rsidR="00000000" w:rsidDel="00000000" w:rsidP="00000000" w:rsidRDefault="00000000" w:rsidRPr="00000000" w14:paraId="000000E0">
            <w:pPr>
              <w:spacing w:after="0" w:lineRule="auto"/>
              <w:rPr>
                <w:sz w:val="18"/>
                <w:szCs w:val="18"/>
              </w:rPr>
            </w:pPr>
            <w:r w:rsidDel="00000000" w:rsidR="00000000" w:rsidRPr="00000000">
              <w:rPr>
                <w:sz w:val="18"/>
                <w:szCs w:val="18"/>
                <w:rtl w:val="0"/>
              </w:rPr>
              <w:t xml:space="preserve">Sens défini au paragraphe 1.7</w:t>
            </w:r>
          </w:p>
        </w:tc>
      </w:tr>
      <w:tr>
        <w:trPr>
          <w:cantSplit w:val="0"/>
          <w:trHeight w:val="386" w:hRule="atLeast"/>
          <w:tblHeader w:val="0"/>
        </w:trPr>
        <w:tc>
          <w:tcPr/>
          <w:p w:rsidR="00000000" w:rsidDel="00000000" w:rsidP="00000000" w:rsidRDefault="00000000" w:rsidRPr="00000000" w14:paraId="000000E1">
            <w:pPr>
              <w:spacing w:after="0" w:lineRule="auto"/>
              <w:jc w:val="left"/>
              <w:rPr>
                <w:sz w:val="18"/>
                <w:szCs w:val="18"/>
              </w:rPr>
            </w:pPr>
            <w:r w:rsidDel="00000000" w:rsidR="00000000" w:rsidRPr="00000000">
              <w:rPr>
                <w:b w:val="0"/>
                <w:sz w:val="18"/>
                <w:szCs w:val="18"/>
                <w:rtl w:val="0"/>
              </w:rPr>
              <w:t xml:space="preserve">Venue Dining</w:t>
            </w:r>
            <w:r w:rsidDel="00000000" w:rsidR="00000000" w:rsidRPr="00000000">
              <w:rPr>
                <w:rtl w:val="0"/>
              </w:rPr>
            </w:r>
          </w:p>
        </w:tc>
        <w:tc>
          <w:tcPr/>
          <w:p w:rsidR="00000000" w:rsidDel="00000000" w:rsidP="00000000" w:rsidRDefault="00000000" w:rsidRPr="00000000" w14:paraId="000000E2">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E3">
            <w:pPr>
              <w:spacing w:after="0" w:lineRule="auto"/>
              <w:rPr>
                <w:sz w:val="18"/>
                <w:szCs w:val="18"/>
              </w:rPr>
            </w:pPr>
            <w:r w:rsidDel="00000000" w:rsidR="00000000" w:rsidRPr="00000000">
              <w:rPr>
                <w:sz w:val="18"/>
                <w:szCs w:val="18"/>
                <w:rtl w:val="0"/>
              </w:rPr>
              <w:t xml:space="preserve">L’ensemble de services à fournir dans le/les espace(s) de restauration dédié(s) au staff, aux volontaires ainsi qu’aux sous-traitants de Paris 2024.</w:t>
            </w:r>
          </w:p>
        </w:tc>
      </w:tr>
    </w:tbl>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spacing w:after="0"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E6">
      <w:pPr>
        <w:pStyle w:val="Heading1"/>
        <w:numPr>
          <w:ilvl w:val="0"/>
          <w:numId w:val="13"/>
        </w:numPr>
        <w:ind w:left="360" w:hanging="360"/>
        <w:rPr/>
      </w:pPr>
      <w:bookmarkStart w:colFirst="0" w:colLast="0" w:name="_heading=h.30j0zll" w:id="1"/>
      <w:bookmarkEnd w:id="1"/>
      <w:r w:rsidDel="00000000" w:rsidR="00000000" w:rsidRPr="00000000">
        <w:rPr>
          <w:rtl w:val="0"/>
        </w:rPr>
        <w:t xml:space="preserve">Contexte</w:t>
      </w:r>
    </w:p>
    <w:p w:rsidR="00000000" w:rsidDel="00000000" w:rsidP="00000000" w:rsidRDefault="00000000" w:rsidRPr="00000000" w14:paraId="000000E7">
      <w:pPr>
        <w:pStyle w:val="Heading2"/>
        <w:numPr>
          <w:ilvl w:val="1"/>
          <w:numId w:val="14"/>
        </w:numPr>
        <w:ind w:left="1796" w:hanging="720"/>
        <w:rPr/>
      </w:pPr>
      <w:bookmarkStart w:colFirst="0" w:colLast="0" w:name="_heading=h.1fob9te" w:id="2"/>
      <w:bookmarkEnd w:id="2"/>
      <w:r w:rsidDel="00000000" w:rsidR="00000000" w:rsidRPr="00000000">
        <w:rPr>
          <w:rtl w:val="0"/>
        </w:rPr>
        <w:t xml:space="preserve">Contexte et enjeux</w:t>
      </w:r>
    </w:p>
    <w:p w:rsidR="00000000" w:rsidDel="00000000" w:rsidP="00000000" w:rsidRDefault="00000000" w:rsidRPr="00000000" w14:paraId="000000E8">
      <w:pPr>
        <w:rPr/>
      </w:pPr>
      <w:r w:rsidDel="00000000" w:rsidR="00000000" w:rsidRPr="00000000">
        <w:rPr>
          <w:rtl w:val="0"/>
        </w:rPr>
        <w:t xml:space="preserve">Les Jeux Olympiques (ci-après « JO ») et Jeux Paralympiques (ci-après « JP ») d’été de 2024 se dérouleront respectivement du 26 juillet au 11 août 2024 et du 28 août au 8 septembre 2024. Paris 2024 en est le Comité d’organisation. Il est notamment chargé de : </w:t>
      </w:r>
    </w:p>
    <w:p w:rsidR="00000000" w:rsidDel="00000000" w:rsidP="00000000" w:rsidRDefault="00000000" w:rsidRPr="00000000" w14:paraId="000000E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Planifier, organiser, financer et livrer les JO et JP de Paris 2024, ainsi que les événements associés ;</w:t>
      </w:r>
    </w:p>
    <w:p w:rsidR="00000000" w:rsidDel="00000000" w:rsidP="00000000" w:rsidRDefault="00000000" w:rsidRPr="00000000" w14:paraId="000000E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Promouvoir les Jeux en France et à l’international ;</w:t>
      </w:r>
    </w:p>
    <w:p w:rsidR="00000000" w:rsidDel="00000000" w:rsidP="00000000" w:rsidRDefault="00000000" w:rsidRPr="00000000" w14:paraId="000000E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Participer aux actions visant à assurer la durabilité des Jeux de Paris 2024 ;</w:t>
      </w:r>
    </w:p>
    <w:p w:rsidR="00000000" w:rsidDel="00000000" w:rsidP="00000000" w:rsidRDefault="00000000" w:rsidRPr="00000000" w14:paraId="000000E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Contribuer à maximiser l’impact positif et l’héritage des Jeux de Paris 2024, notamment en faveur de la pratique du sport et de l’inclusion.  </w:t>
      </w:r>
    </w:p>
    <w:p w:rsidR="00000000" w:rsidDel="00000000" w:rsidP="00000000" w:rsidRDefault="00000000" w:rsidRPr="00000000" w14:paraId="000000ED">
      <w:pPr>
        <w:rPr/>
      </w:pPr>
      <w:r w:rsidDel="00000000" w:rsidR="00000000" w:rsidRPr="00000000">
        <w:rPr>
          <w:rtl w:val="0"/>
        </w:rPr>
        <w:t xml:space="preserve">Les Jeux offrent au sport et au Pays Hôte une visibilité inégalée. En effet, ils sont suivis par plusieurs milliards de téléspectateurs et réunissent près de 15 000 athlètes (10 500 pour les JO, 4 350 pour les JP), plus de 10 millions de spectateurs, et environ 40 000 représentants des médias. Ils sont le plus grand événement au monde, avec 28 sports olympiques et 4 sports additionnels organisés sur 39 Sites de Compétition (hors stades de football) et 22 sports paralympiques organisés sur 18 Sites. Les JO et JP sont organisés de manière intégrée, comme un seul et même projet.</w:t>
      </w:r>
    </w:p>
    <w:p w:rsidR="00000000" w:rsidDel="00000000" w:rsidP="00000000" w:rsidRDefault="00000000" w:rsidRPr="00000000" w14:paraId="000000EE">
      <w:pPr>
        <w:rPr/>
      </w:pPr>
      <w:r w:rsidDel="00000000" w:rsidR="00000000" w:rsidRPr="00000000">
        <w:rPr>
          <w:rtl w:val="0"/>
        </w:rPr>
        <w:t xml:space="preserve">Les événements sportifs se dérouleront sur l’ensemble du territoire national. A Paris tout d’abord, où certaines compétitions se dérouleront dans ou à proximité de monuments emblématiques comme la Tour Eiffel, le Grand Palais ou l’Esplanade des Invalides, mettant en valeur le patrimoine exceptionnel de la ville. La Seine-Saint-Denis, véritable épicentre des Jeux, accueillera notamment deux des Sites les plus fréquentés des JOP, le Stade de France et le nouveau Centre aquatique, mais aussi le Village des athlètes (OLV/PLV). Les Jeux toucheront également d’autres territoires, comme les Yvelines avec le Château de Versailles pour l’équitation, la Seine-et-Marne avec la Base Nautique de Vaires-sur-Marne pour l’aviron, Marseille pour les épreuves de voile, Tahiti (Outre-Mer) pour les épreuves de surf et plusieurs métropoles pour le tournoi de football. Les cartes des Sites des JOP de Paris 2024 sont accessibles ci-dessous. </w:t>
      </w:r>
    </w:p>
    <w:p w:rsidR="00000000" w:rsidDel="00000000" w:rsidP="00000000" w:rsidRDefault="00000000" w:rsidRPr="00000000" w14:paraId="000000EF">
      <w:pPr>
        <w:rPr/>
      </w:pPr>
      <w:r w:rsidDel="00000000" w:rsidR="00000000" w:rsidRPr="00000000">
        <w:rPr>
          <w:rtl w:val="0"/>
        </w:rPr>
        <w:t xml:space="preserve">Les Jeux de Paris 2024 seront une célébration des valeurs de l’Olympisme au cœur de la ville, avec des espaces dédiés aux spectateurs et visiteurs le long de la Seine et des canaux parisiens. La Ville de Paris se transformera, le temps d’un été, en un véritable parc olympique et paralympique.</w:t>
      </w:r>
    </w:p>
    <w:p w:rsidR="00000000" w:rsidDel="00000000" w:rsidP="00000000" w:rsidRDefault="00000000" w:rsidRPr="00000000" w14:paraId="000000F0">
      <w:pPr>
        <w:rPr/>
      </w:pPr>
      <w:r w:rsidDel="00000000" w:rsidR="00000000" w:rsidRPr="00000000">
        <w:rPr>
          <w:rtl w:val="0"/>
        </w:rPr>
        <w:t xml:space="preserve">Au-delà des événements sportifs, les Jeux ont pour objectif de constituer un héritage matériel et immatériel durable et inclusif pour la population française, aussi bien dans les territoires hôtes des Jeux que dans le reste de la France. Dès maintenant, Paris 2024 met en place des actions en faveur du développement de la pratique sportive, de la maximisation des retombées économiques et du développement durable.</w:t>
      </w:r>
    </w:p>
    <w:p w:rsidR="00000000" w:rsidDel="00000000" w:rsidP="00000000" w:rsidRDefault="00000000" w:rsidRPr="00000000" w14:paraId="000000F1">
      <w:pPr>
        <w:pStyle w:val="Heading2"/>
        <w:numPr>
          <w:ilvl w:val="1"/>
          <w:numId w:val="14"/>
        </w:numPr>
        <w:ind w:left="1796" w:hanging="720"/>
        <w:rPr/>
      </w:pPr>
      <w:bookmarkStart w:colFirst="0" w:colLast="0" w:name="_heading=h.3znysh7" w:id="3"/>
      <w:bookmarkEnd w:id="3"/>
      <w:r w:rsidDel="00000000" w:rsidR="00000000" w:rsidRPr="00000000">
        <w:rPr>
          <w:rtl w:val="0"/>
        </w:rPr>
        <w:t xml:space="preserve">La Vision de Paris 2024</w:t>
      </w:r>
    </w:p>
    <w:p w:rsidR="00000000" w:rsidDel="00000000" w:rsidP="00000000" w:rsidRDefault="00000000" w:rsidRPr="00000000" w14:paraId="000000F2">
      <w:pPr>
        <w:rPr/>
      </w:pPr>
      <w:r w:rsidDel="00000000" w:rsidR="00000000" w:rsidRPr="00000000">
        <w:rPr>
          <w:rtl w:val="0"/>
        </w:rPr>
        <w:t xml:space="preserve">Paris 2024 place le sport au cœur de son ambition. Conscient de l’opportunité unique que représentent les Jeux, Paris 2024 souhaite que l’enthousiasme et l’énergie de ce projet révèlent le pouvoir du sport et ses valeurs, et fédèrent le plus grand nombre, afin de mettre davantage de sport dans le quotidien de chacun. </w:t>
      </w:r>
    </w:p>
    <w:p w:rsidR="00000000" w:rsidDel="00000000" w:rsidP="00000000" w:rsidRDefault="00000000" w:rsidRPr="00000000" w14:paraId="000000F3">
      <w:pPr>
        <w:rPr>
          <w:color w:val="000000"/>
        </w:rPr>
      </w:pPr>
      <w:r w:rsidDel="00000000" w:rsidR="00000000" w:rsidRPr="00000000">
        <w:rPr>
          <w:color w:val="000000"/>
          <w:rtl w:val="0"/>
        </w:rPr>
        <w:t xml:space="preserve">Paris 2024 a la volonté d’organiser les Jeux différemment, en ligne avec les recommandations du CIO et de l’IPC (</w:t>
      </w:r>
      <w:r w:rsidDel="00000000" w:rsidR="00000000" w:rsidRPr="00000000">
        <w:rPr>
          <w:color w:val="006aff"/>
          <w:rtl w:val="0"/>
        </w:rPr>
        <w:t xml:space="preserve">« </w:t>
      </w:r>
      <w:hyperlink r:id="rId10">
        <w:r w:rsidDel="00000000" w:rsidR="00000000" w:rsidRPr="00000000">
          <w:rPr>
            <w:rFonts w:ascii="Paris2024" w:cs="Paris2024" w:eastAsia="Paris2024" w:hAnsi="Paris2024"/>
            <w:color w:val="006aff"/>
            <w:u w:val="single"/>
            <w:rtl w:val="0"/>
          </w:rPr>
          <w:t xml:space="preserve">La Nouvelle Norme</w:t>
        </w:r>
      </w:hyperlink>
      <w:r w:rsidDel="00000000" w:rsidR="00000000" w:rsidRPr="00000000">
        <w:rPr>
          <w:rFonts w:ascii="Paris2024" w:cs="Paris2024" w:eastAsia="Paris2024" w:hAnsi="Paris2024"/>
          <w:color w:val="006aff"/>
          <w:u w:val="single"/>
          <w:rtl w:val="0"/>
        </w:rPr>
        <w:t xml:space="preserve"> </w:t>
      </w:r>
      <w:r w:rsidDel="00000000" w:rsidR="00000000" w:rsidRPr="00000000">
        <w:rPr>
          <w:color w:val="006aff"/>
          <w:rtl w:val="0"/>
        </w:rPr>
        <w:t xml:space="preserve">»</w:t>
      </w:r>
      <w:r w:rsidDel="00000000" w:rsidR="00000000" w:rsidRPr="00000000">
        <w:rPr>
          <w:color w:val="000000"/>
          <w:rtl w:val="0"/>
        </w:rPr>
        <w:t xml:space="preserve"> cf. section 1.3 « L’Agenda Olympique 2020 et la Nouvelle Norme ») et ainsi proposer des Jeux révolutionnaires, à la fois spectaculaires et durables. </w:t>
      </w:r>
    </w:p>
    <w:p w:rsidR="00000000" w:rsidDel="00000000" w:rsidP="00000000" w:rsidRDefault="00000000" w:rsidRPr="00000000" w14:paraId="000000F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Des Jeux spectaculaires pour marquer les esprits, en amenant le sport là où on ne l’attend pas, dans une fête au cœur des villes, teintés de notre culture française et de notre savoir-faire. </w:t>
      </w:r>
    </w:p>
    <w:p w:rsidR="00000000" w:rsidDel="00000000" w:rsidP="00000000" w:rsidRDefault="00000000" w:rsidRPr="00000000" w14:paraId="000000F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Des Jeux durables pour inspirer les générations futures, respectueux de l’environnement</w:t>
      </w:r>
    </w:p>
    <w:p w:rsidR="00000000" w:rsidDel="00000000" w:rsidP="00000000" w:rsidRDefault="00000000" w:rsidRPr="00000000" w14:paraId="000000F6">
      <w:pPr>
        <w:rPr/>
      </w:pPr>
      <w:r w:rsidDel="00000000" w:rsidR="00000000" w:rsidRPr="00000000">
        <w:rPr>
          <w:rtl w:val="0"/>
        </w:rPr>
        <w:t xml:space="preserve">A chaque étape de la construction des Jeux, l’état d’esprit des athlètes doit inspirer Paris 2024, ainsi que tous ceux qui construisent ce projet :</w:t>
      </w:r>
    </w:p>
    <w:p w:rsidR="00000000" w:rsidDel="00000000" w:rsidP="00000000" w:rsidRDefault="00000000" w:rsidRPr="00000000" w14:paraId="000000F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L’exigence, pour mettre l’énergie des Jeux au service d’un projet utile et obtenir des résultats concrets. Dans ce cadre, l’exigence collective de Paris 2024 implique la livraison de </w:t>
      </w:r>
      <w:r w:rsidDel="00000000" w:rsidR="00000000" w:rsidRPr="00000000">
        <w:rPr>
          <w:rFonts w:ascii="Source Sans Pro Light" w:cs="Source Sans Pro Light" w:eastAsia="Source Sans Pro Light" w:hAnsi="Source Sans Pro Light"/>
          <w:b w:val="0"/>
          <w:i w:val="0"/>
          <w:smallCaps w:val="0"/>
          <w:strike w:val="0"/>
          <w:color w:val="000000"/>
          <w:sz w:val="21"/>
          <w:szCs w:val="21"/>
          <w:u w:val="single"/>
          <w:shd w:fill="auto" w:val="clear"/>
          <w:vertAlign w:val="baseline"/>
          <w:rtl w:val="0"/>
        </w:rPr>
        <w:t xml:space="preserve">Jeux financièrement sobres et responsables tant au niveau social qu’environnemental</w:t>
      </w: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F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La créativité, pour refuser les modèles pré établis en innovant, en osant faire différemment ;</w:t>
      </w:r>
    </w:p>
    <w:p w:rsidR="00000000" w:rsidDel="00000000" w:rsidP="00000000" w:rsidRDefault="00000000" w:rsidRPr="00000000" w14:paraId="000000F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 partage, pour que ce projet puisse bénéficier au plus grand nombre ; pour que cette ambition puisse rayonner et être portée au-delà de 2024.</w:t>
      </w:r>
    </w:p>
    <w:p w:rsidR="00000000" w:rsidDel="00000000" w:rsidP="00000000" w:rsidRDefault="00000000" w:rsidRPr="00000000" w14:paraId="000000FA">
      <w:pPr>
        <w:rPr>
          <w:color w:val="000000"/>
        </w:rPr>
      </w:pPr>
      <w:r w:rsidDel="00000000" w:rsidR="00000000" w:rsidRPr="00000000">
        <w:rPr>
          <w:rtl w:val="0"/>
        </w:rPr>
        <w:t xml:space="preserve">Les objectifs environnementaux et sociaux de Paris 2024 sont très ambitieux. Dans cette volonté de concevoir des Jeux durables, Paris 2024 attend de la part des acteurs engagés à ses côtés qu’ils anticipent et proposent des solutions quant à l’utilisation de leur biens et/ou services au-delà des Jeux, et ce dès la conception de ce bien et/ou service. Cette prise en compte implique l’ensemble des éléments constitutifs de la prestation (chaîne de production, modèle de structure développé, etc.). Les acteurs impliqués dans le projet des Jeux devront ainsi contribuer à l’atteinte des objectifs d’Héritage et de Durabilité à la mesure de leur capacité d’action, au sein de leur organisation et lors de leur collaboration avec d’éventuels prestataires. </w:t>
      </w:r>
      <w:r w:rsidDel="00000000" w:rsidR="00000000" w:rsidRPr="00000000">
        <w:rPr>
          <w:color w:val="000000"/>
          <w:rtl w:val="0"/>
        </w:rPr>
        <w:t xml:space="preserve">Enfin, l’ensemble des acteurs devra s’appliquer à proposer les solutions les moins coûteuses pour mettre en œuvre cette ambition. En effet, l’exemplarité et la sobriété budgétaires font partie intégrante de la vision de Paris 2024.</w:t>
      </w:r>
    </w:p>
    <w:p w:rsidR="00000000" w:rsidDel="00000000" w:rsidP="00000000" w:rsidRDefault="00000000" w:rsidRPr="00000000" w14:paraId="000000FB">
      <w:pPr>
        <w:rPr>
          <w:color w:val="000000"/>
        </w:rPr>
      </w:pPr>
      <w:r w:rsidDel="00000000" w:rsidR="00000000" w:rsidRPr="00000000">
        <w:rPr>
          <w:rtl w:val="0"/>
        </w:rPr>
        <w:t xml:space="preserve">Pour réaliser cette vision, Paris 2024 encourage chaque acteur ayant un rôle à jouer dans l’organisation de cet événement à inscrire </w:t>
      </w:r>
      <w:r w:rsidDel="00000000" w:rsidR="00000000" w:rsidRPr="00000000">
        <w:rPr>
          <w:u w:val="single"/>
          <w:rtl w:val="0"/>
        </w:rPr>
        <w:t xml:space="preserve">l’innovation et la créativité</w:t>
      </w:r>
      <w:r w:rsidDel="00000000" w:rsidR="00000000" w:rsidRPr="00000000">
        <w:rPr>
          <w:rtl w:val="0"/>
        </w:rPr>
        <w:t xml:space="preserve"> au cœur de son travail, tant dans la proposition de concepts, la construction de modèles d’organisation et la fourniture de biens et services.</w:t>
      </w: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Enfin, les Jeux de Paris sont au bénéfice de tous : Paris 2024 encourage la participation de tous les acteurs (les grandes ou petites entreprises) pour servir le projet et faire rayonner le savoir-faire français. Les prestataires de Paris 2024 ont également cette responsabilité de travailler avec des partenaires locaux qui feront vivre l’économie et ainsi assurer un héritage pour tous.</w:t>
      </w:r>
    </w:p>
    <w:p w:rsidR="00000000" w:rsidDel="00000000" w:rsidP="00000000" w:rsidRDefault="00000000" w:rsidRPr="00000000" w14:paraId="000000FD">
      <w:pPr>
        <w:rPr/>
      </w:pPr>
      <w:r w:rsidDel="00000000" w:rsidR="00000000" w:rsidRPr="00000000">
        <w:rPr>
          <w:rtl w:val="0"/>
        </w:rPr>
        <w:t xml:space="preserve">La vision de Paris 2024 est schématisée ci-dessous, autour de 5 piliers partagés par l’ensemble des directions, partenaires, parties prenantes et prestataires de Paris 2024. Elle est l’ADN de Paris 2024 et permet de garantir une cohérence globale entre les projets, qu’ils soient mis en œuvre par Paris 2024 ou ses partenaires et prestataires.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Paris2024" w:cs="Paris2024" w:eastAsia="Paris2024" w:hAnsi="Paris2024"/>
          <w:b w:val="0"/>
          <w:i w:val="0"/>
          <w:smallCaps w:val="0"/>
          <w:strike w:val="0"/>
          <w:color w:val="000000"/>
          <w:sz w:val="21"/>
          <w:szCs w:val="21"/>
          <w:u w:val="none"/>
          <w:shd w:fill="auto" w:val="clear"/>
          <w:vertAlign w:val="baseline"/>
        </w:rPr>
        <w:drawing>
          <wp:inline distB="0" distT="0" distL="0" distR="0">
            <wp:extent cx="5303520" cy="2873142"/>
            <wp:effectExtent b="0" l="0" r="0" t="0"/>
            <wp:docPr id="1858500661"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303520" cy="2873142"/>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pStyle w:val="Heading2"/>
        <w:numPr>
          <w:ilvl w:val="1"/>
          <w:numId w:val="14"/>
        </w:numPr>
        <w:ind w:left="1796" w:hanging="720"/>
        <w:rPr/>
      </w:pPr>
      <w:bookmarkStart w:colFirst="0" w:colLast="0" w:name="_heading=h.2et92p0" w:id="4"/>
      <w:bookmarkEnd w:id="4"/>
      <w:r w:rsidDel="00000000" w:rsidR="00000000" w:rsidRPr="00000000">
        <w:rPr>
          <w:rtl w:val="0"/>
        </w:rPr>
        <w:t xml:space="preserve">La Nouvelle Norme</w:t>
      </w:r>
    </w:p>
    <w:p w:rsidR="00000000" w:rsidDel="00000000" w:rsidP="00000000" w:rsidRDefault="00000000" w:rsidRPr="00000000" w14:paraId="00000100">
      <w:pPr>
        <w:rPr/>
      </w:pPr>
      <w:r w:rsidDel="00000000" w:rsidR="00000000" w:rsidRPr="00000000">
        <w:rPr>
          <w:rtl w:val="0"/>
        </w:rPr>
        <w:t xml:space="preserve">En décembre 2014, la session du CIO a approuvé à l’unanimité l’Agenda Olympique 2020 (« </w:t>
      </w:r>
      <w:hyperlink r:id="rId12">
        <w:r w:rsidDel="00000000" w:rsidR="00000000" w:rsidRPr="00000000">
          <w:rPr>
            <w:rFonts w:ascii="Paris2024" w:cs="Paris2024" w:eastAsia="Paris2024" w:hAnsi="Paris2024"/>
            <w:color w:val="f9b900"/>
            <w:u w:val="single"/>
            <w:rtl w:val="0"/>
          </w:rPr>
          <w:t xml:space="preserve">Agenda 2020</w:t>
        </w:r>
      </w:hyperlink>
      <w:r w:rsidDel="00000000" w:rsidR="00000000" w:rsidRPr="00000000">
        <w:rPr>
          <w:rtl w:val="0"/>
        </w:rPr>
        <w:t xml:space="preserve"> »), une réforme qui s’adresse à l’ensemble du Mouvement Olympique et qui vise à donner une orientation stratégique de moyen terme sur l’ensemble du processus d’organisation – de la Candidature à la Livraison des Jeux, en passant par l’Héritage. Parmi les 40 recommandations de l’Agenda 2020, un certain nombre portait une attention particulière à l’organisation et à la livraison opérationnelle des JO et JP. </w:t>
      </w:r>
    </w:p>
    <w:p w:rsidR="00000000" w:rsidDel="00000000" w:rsidP="00000000" w:rsidRDefault="00000000" w:rsidRPr="00000000" w14:paraId="00000101">
      <w:pPr>
        <w:rPr/>
      </w:pPr>
      <w:r w:rsidDel="00000000" w:rsidR="00000000" w:rsidRPr="00000000">
        <w:rPr>
          <w:rtl w:val="0"/>
        </w:rPr>
        <w:t xml:space="preserve">En février 2018, dans le cadre de la mise en œuvre de l’Agenda 2020, un rapport intitulé « </w:t>
      </w:r>
      <w:hyperlink r:id="rId13">
        <w:r w:rsidDel="00000000" w:rsidR="00000000" w:rsidRPr="00000000">
          <w:rPr>
            <w:rFonts w:ascii="Paris2024" w:cs="Paris2024" w:eastAsia="Paris2024" w:hAnsi="Paris2024"/>
            <w:color w:val="f9b900"/>
            <w:u w:val="single"/>
            <w:rtl w:val="0"/>
          </w:rPr>
          <w:t xml:space="preserve">La Nouvelle Norme</w:t>
        </w:r>
      </w:hyperlink>
      <w:r w:rsidDel="00000000" w:rsidR="00000000" w:rsidRPr="00000000">
        <w:rPr>
          <w:rtl w:val="0"/>
        </w:rPr>
        <w:t xml:space="preserve"> » a été produit par le Comité Directeur du CIO chargé de la livraison des JO et JP. Cette réflexion a bénéficié de la participation de l’IPC et des principales parties prenantes du Mouvement Olympique, notamment les FI (Fédérations Internationales), les CNO (Comités Nationaux Olympique), les Partenaires Olympiques (TOP), les Radiodiffuseurs Détenteurs De Droits (ci-après « RHB »). La Nouvelle Norme préconise une refonte de l’organisation des Jeux et du Modèle de Livraison, dans le but « d’augmenter la valeur des JO et JP en réduisant les coûts et la complexité du Modèle de Livraison, et en définissant plus précisément les risques et les responsabilités de chaque partie prenante clé, afin d’améliorer la flexibilité, l’efficacité et la durabilité de l’organisation des Jeux ». Notamment, la Nouvelle Norme envisage qu’« afin de mieux soutenir les Comités d’Organisation, certaines activités pourront être transférées aux parties prenantes du Mouvement Olympique, en particulier aux Fédérations Internationales, aux Comités Nationaux Olympiques et aux Partenaires de Marketing ».</w:t>
      </w:r>
    </w:p>
    <w:p w:rsidR="00000000" w:rsidDel="00000000" w:rsidP="00000000" w:rsidRDefault="00000000" w:rsidRPr="00000000" w14:paraId="00000102">
      <w:pPr>
        <w:pStyle w:val="Heading2"/>
        <w:numPr>
          <w:ilvl w:val="1"/>
          <w:numId w:val="14"/>
        </w:numPr>
        <w:ind w:left="1796" w:hanging="720"/>
        <w:rPr/>
      </w:pPr>
      <w:bookmarkStart w:colFirst="0" w:colLast="0" w:name="_heading=h.tyjcwt" w:id="5"/>
      <w:bookmarkEnd w:id="5"/>
      <w:r w:rsidDel="00000000" w:rsidR="00000000" w:rsidRPr="00000000">
        <w:rPr>
          <w:rtl w:val="0"/>
        </w:rPr>
        <w:t xml:space="preserve">La Stratégie Héritage et Durabilité</w:t>
      </w:r>
    </w:p>
    <w:p w:rsidR="00000000" w:rsidDel="00000000" w:rsidP="00000000" w:rsidRDefault="00000000" w:rsidRPr="00000000" w14:paraId="00000103">
      <w:pPr>
        <w:rPr>
          <w:rFonts w:ascii="Paris2024" w:cs="Paris2024" w:eastAsia="Paris2024" w:hAnsi="Paris2024"/>
          <w:color w:val="000000"/>
          <w:highlight w:val="white"/>
        </w:rPr>
      </w:pPr>
      <w:r w:rsidDel="00000000" w:rsidR="00000000" w:rsidRPr="00000000">
        <w:rPr>
          <w:rtl w:val="0"/>
        </w:rPr>
        <w:t xml:space="preserve">La construction de la stratégie héritage et durabilité repose sur la mobilisation collective de toutes les parties prenantes. Au sein de cet ensemble, Paris 2024 joue un rôle de catalyseur</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 il crée le lien entre les projets d’héritage de chaque acteur et la marque Paris 2024</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 il</w:t>
      </w:r>
      <w:r w:rsidDel="00000000" w:rsidR="00000000" w:rsidRPr="00000000">
        <w:rPr>
          <w:rFonts w:ascii="Paris2024" w:cs="Paris2024" w:eastAsia="Paris2024" w:hAnsi="Paris2024"/>
          <w:color w:val="000000"/>
          <w:highlight w:val="white"/>
          <w:rtl w:val="0"/>
        </w:rPr>
        <w:t xml:space="preserve"> </w:t>
      </w:r>
      <w:r w:rsidDel="00000000" w:rsidR="00000000" w:rsidRPr="00000000">
        <w:rPr>
          <w:rtl w:val="0"/>
        </w:rPr>
        <w:t xml:space="preserve">donne une impulsion en lançant des programmes d’héritage et des appels à projet</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 il permet une bonne coordination autour d’objectifs partagés et un partage des bonnes pratiques</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 il propose un cadre commun de mesure de l’impact.</w:t>
      </w:r>
      <w:r w:rsidDel="00000000" w:rsidR="00000000" w:rsidRPr="00000000">
        <w:rPr>
          <w:rtl w:val="0"/>
        </w:rPr>
      </w:r>
    </w:p>
    <w:p w:rsidR="00000000" w:rsidDel="00000000" w:rsidP="00000000" w:rsidRDefault="00000000" w:rsidRPr="00000000" w14:paraId="00000104">
      <w:pPr>
        <w:rPr>
          <w:color w:val="000000"/>
        </w:rPr>
      </w:pPr>
      <w:r w:rsidDel="00000000" w:rsidR="00000000" w:rsidRPr="00000000">
        <w:rPr>
          <w:color w:val="000000"/>
          <w:rtl w:val="0"/>
        </w:rPr>
        <w:t xml:space="preserve">En ligne avec la stratégie pour le développement durable fixée par le CIO et avec le concours de nombreux acteurs clés, Paris 2024 s’est donné des objectifs très ambitieux pour la livraison de Jeux exemplaires (voir Annexe C « Ambition sociale et environnementale de Paris 2024 »). </w:t>
      </w:r>
    </w:p>
    <w:p w:rsidR="00000000" w:rsidDel="00000000" w:rsidP="00000000" w:rsidRDefault="00000000" w:rsidRPr="00000000" w14:paraId="00000105">
      <w:pPr>
        <w:rPr>
          <w:color w:val="000000"/>
        </w:rPr>
      </w:pPr>
      <w:r w:rsidDel="00000000" w:rsidR="00000000" w:rsidRPr="00000000">
        <w:rPr>
          <w:color w:val="000000"/>
          <w:rtl w:val="0"/>
        </w:rPr>
        <w:t xml:space="preserve">En complément, dans son rôle d’organisateur du plus grand évènement planétaire, Paris 2024, en lien avec la SOLIDEO, porte la responsabilité particulière de contribuer à la prise de conscience sur les enjeux environnementaux et climatiques et d’agir pour laisser un héritage durable et respectueux des générations futures.</w:t>
      </w:r>
    </w:p>
    <w:p w:rsidR="00000000" w:rsidDel="00000000" w:rsidP="00000000" w:rsidRDefault="00000000" w:rsidRPr="00000000" w14:paraId="00000106">
      <w:pPr>
        <w:rPr>
          <w:color w:val="000000"/>
        </w:rPr>
      </w:pPr>
      <w:r w:rsidDel="00000000" w:rsidR="00000000" w:rsidRPr="00000000">
        <w:rPr>
          <w:color w:val="000000"/>
          <w:rtl w:val="0"/>
        </w:rPr>
        <w:t xml:space="preserve">La stratégie Héritage et Durabilité constitue le cadre commun de cette ambition collective, fondée sur la vision de Paris 2024. Elle doit permettre de relever un défi majeur</w:t>
      </w:r>
      <w:r w:rsidDel="00000000" w:rsidR="00000000" w:rsidRPr="00000000">
        <w:rPr>
          <w:rFonts w:ascii="Cambria Math" w:cs="Cambria Math" w:eastAsia="Cambria Math" w:hAnsi="Cambria Math"/>
          <w:color w:val="000000"/>
          <w:rtl w:val="0"/>
        </w:rPr>
        <w:t xml:space="preserve"> </w:t>
      </w:r>
      <w:r w:rsidDel="00000000" w:rsidR="00000000" w:rsidRPr="00000000">
        <w:rPr>
          <w:color w:val="000000"/>
          <w:rtl w:val="0"/>
        </w:rPr>
        <w:t xml:space="preserve">: refléter la diversité des priorités des parties prenantes en matière d’héritage et de durabilité tout en assurant une cohérence d’ensemble et en garantissant un impact fort.</w:t>
      </w:r>
    </w:p>
    <w:p w:rsidR="00000000" w:rsidDel="00000000" w:rsidP="00000000" w:rsidRDefault="00000000" w:rsidRPr="00000000" w14:paraId="00000107">
      <w:pPr>
        <w:rPr/>
      </w:pPr>
      <w:r w:rsidDel="00000000" w:rsidR="00000000" w:rsidRPr="00000000">
        <w:rPr>
          <w:rtl w:val="0"/>
        </w:rPr>
        <w:t xml:space="preserve">Pour y parvenir, compte tenu des contributions et des attentes diverses exprimées, la stratégie</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est structurée en deux ambitions prioritaires : bâtir un nouveau modèle de Jeux et donner une nouvelle place au sport dans la société.</w:t>
      </w:r>
    </w:p>
    <w:p w:rsidR="00000000" w:rsidDel="00000000" w:rsidP="00000000" w:rsidRDefault="00000000" w:rsidRPr="00000000" w14:paraId="00000108">
      <w:pPr>
        <w:spacing w:after="0" w:line="240" w:lineRule="auto"/>
        <w:rPr>
          <w:rFonts w:ascii="Paris2024" w:cs="Paris2024" w:eastAsia="Paris2024" w:hAnsi="Paris2024"/>
          <w:color w:val="000000"/>
        </w:rPr>
      </w:pPr>
      <w:r w:rsidDel="00000000" w:rsidR="00000000" w:rsidRPr="00000000">
        <w:rPr>
          <w:color w:val="2b579a"/>
          <w:shd w:fill="e6e6e6" w:val="clear"/>
        </w:rPr>
        <w:drawing>
          <wp:inline distB="0" distT="0" distL="0" distR="0">
            <wp:extent cx="6246251" cy="2321457"/>
            <wp:effectExtent b="0" l="0" r="0" t="0"/>
            <wp:docPr id="1858500660"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6246251" cy="2321457"/>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pStyle w:val="Heading2"/>
        <w:numPr>
          <w:ilvl w:val="1"/>
          <w:numId w:val="14"/>
        </w:numPr>
        <w:ind w:left="1796" w:hanging="720"/>
        <w:rPr/>
      </w:pPr>
      <w:bookmarkStart w:colFirst="0" w:colLast="0" w:name="_heading=h.3dy6vkm" w:id="6"/>
      <w:bookmarkEnd w:id="6"/>
      <w:r w:rsidDel="00000000" w:rsidR="00000000" w:rsidRPr="00000000">
        <w:rPr>
          <w:rtl w:val="0"/>
        </w:rPr>
        <w:t xml:space="preserve">L’ambition d’Excellence Environnementale</w:t>
      </w:r>
    </w:p>
    <w:p w:rsidR="00000000" w:rsidDel="00000000" w:rsidP="00000000" w:rsidRDefault="00000000" w:rsidRPr="00000000" w14:paraId="0000010A">
      <w:pPr>
        <w:rPr/>
      </w:pPr>
      <w:r w:rsidDel="00000000" w:rsidR="00000000" w:rsidRPr="00000000">
        <w:rPr>
          <w:rtl w:val="0"/>
        </w:rPr>
        <w:t xml:space="preserve">Paris 2024 veut constituer une référence mondiale en matière de durabilité. Si le concept des Jeux lui-même, à travers sa sobriété, permet d’éviter une partie très importante des impacts environnementaux, Paris 2024 s’engage notamment à réduire au maximum l’impact climatique des Jeux, à mener des actions pédagogiques et à promouvoir les pratiques environnementales les plus exemplaires.</w:t>
      </w:r>
    </w:p>
    <w:p w:rsidR="00000000" w:rsidDel="00000000" w:rsidP="00000000" w:rsidRDefault="00000000" w:rsidRPr="00000000" w14:paraId="0000010B">
      <w:pPr>
        <w:rPr/>
      </w:pPr>
      <w:r w:rsidDel="00000000" w:rsidR="00000000" w:rsidRPr="00000000">
        <w:rPr>
          <w:rtl w:val="0"/>
        </w:rPr>
        <w:t xml:space="preserve">Ces actions s’inscrivent dans la continuité des engagements déjà pris par le comité en phase de candidature et font désormais partie de la stratégie d’excellence environnementale de Paris 2024, structurée autour de trois axes. </w:t>
      </w:r>
    </w:p>
    <w:p w:rsidR="00000000" w:rsidDel="00000000" w:rsidP="00000000" w:rsidRDefault="00000000" w:rsidRPr="00000000" w14:paraId="0000010C">
      <w:pPr>
        <w:pStyle w:val="Heading3"/>
        <w:numPr>
          <w:ilvl w:val="2"/>
          <w:numId w:val="14"/>
        </w:numPr>
        <w:ind w:left="2160" w:hanging="360"/>
        <w:rPr>
          <w:rFonts w:ascii="Paris2024" w:cs="Paris2024" w:eastAsia="Paris2024" w:hAnsi="Paris2024"/>
          <w:color w:val="006aff"/>
          <w:sz w:val="24"/>
          <w:szCs w:val="24"/>
        </w:rPr>
      </w:pPr>
      <w:bookmarkStart w:colFirst="0" w:colLast="0" w:name="_heading=h.1t3h5sf" w:id="7"/>
      <w:bookmarkEnd w:id="7"/>
      <w:r w:rsidDel="00000000" w:rsidR="00000000" w:rsidRPr="00000000">
        <w:rPr>
          <w:rFonts w:ascii="Paris2024" w:cs="Paris2024" w:eastAsia="Paris2024" w:hAnsi="Paris2024"/>
          <w:color w:val="006aff"/>
          <w:sz w:val="24"/>
          <w:szCs w:val="24"/>
          <w:rtl w:val="0"/>
        </w:rPr>
        <w:t xml:space="preserve">Des Jeux neutres en carbone</w:t>
      </w:r>
    </w:p>
    <w:p w:rsidR="00000000" w:rsidDel="00000000" w:rsidP="00000000" w:rsidRDefault="00000000" w:rsidRPr="00000000" w14:paraId="0000010D">
      <w:pPr>
        <w:rPr/>
      </w:pPr>
      <w:r w:rsidDel="00000000" w:rsidR="00000000" w:rsidRPr="00000000">
        <w:rPr>
          <w:rtl w:val="0"/>
        </w:rPr>
        <w:t xml:space="preserve">Les Jeux de Paris 2024 sont, par leur concept même reposant sur 95% de structures temporaires ou existantes, les premiers Jeux alignés sur l’Accord de Paris et le comité souhaite aller plus loin encore. </w:t>
      </w:r>
    </w:p>
    <w:p w:rsidR="00000000" w:rsidDel="00000000" w:rsidP="00000000" w:rsidRDefault="00000000" w:rsidRPr="00000000" w14:paraId="0000010E">
      <w:pPr>
        <w:rPr/>
      </w:pPr>
      <w:r w:rsidDel="00000000" w:rsidR="00000000" w:rsidRPr="00000000">
        <w:rPr>
          <w:rtl w:val="0"/>
        </w:rPr>
        <w:t xml:space="preserve">Paris 2024 travaille d’ores et déjà à une série de mesures qui contribueront à réduire ses émissions, par exemple en pensant les Jeux comme un laboratoire d’innovation durable avec l’utilisation de matériaux à faible impact pour les constructions pérennes qui seront livrées par la SOLIDEO (les Villages des athlètes et des médias deviendront notamment des logements après les Jeux) et avec l’utilisation de matériaux vertueux pour la mise en place des structures temporaires. </w:t>
      </w:r>
    </w:p>
    <w:p w:rsidR="00000000" w:rsidDel="00000000" w:rsidP="00000000" w:rsidRDefault="00000000" w:rsidRPr="00000000" w14:paraId="0000010F">
      <w:pPr>
        <w:rPr/>
      </w:pPr>
      <w:r w:rsidDel="00000000" w:rsidR="00000000" w:rsidRPr="00000000">
        <w:rPr>
          <w:rtl w:val="0"/>
        </w:rPr>
        <w:t xml:space="preserve">Dans cette ligne, Paris 2024 a signé l’initiative « Sports for Climate Action » de l’UNFCCC (Convention-cadre des Nations-Unies sur les changements climatiques).</w:t>
      </w:r>
    </w:p>
    <w:p w:rsidR="00000000" w:rsidDel="00000000" w:rsidP="00000000" w:rsidRDefault="00000000" w:rsidRPr="00000000" w14:paraId="00000110">
      <w:pPr>
        <w:pStyle w:val="Heading3"/>
        <w:numPr>
          <w:ilvl w:val="2"/>
          <w:numId w:val="14"/>
        </w:numPr>
        <w:ind w:left="2160" w:hanging="360"/>
        <w:rPr>
          <w:rFonts w:ascii="Paris2024" w:cs="Paris2024" w:eastAsia="Paris2024" w:hAnsi="Paris2024"/>
          <w:color w:val="006aff"/>
          <w:sz w:val="24"/>
          <w:szCs w:val="24"/>
        </w:rPr>
      </w:pPr>
      <w:bookmarkStart w:colFirst="0" w:colLast="0" w:name="_heading=h.4d34og8" w:id="8"/>
      <w:bookmarkEnd w:id="8"/>
      <w:r w:rsidDel="00000000" w:rsidR="00000000" w:rsidRPr="00000000">
        <w:rPr>
          <w:rFonts w:ascii="Paris2024" w:cs="Paris2024" w:eastAsia="Paris2024" w:hAnsi="Paris2024"/>
          <w:color w:val="006aff"/>
          <w:sz w:val="24"/>
          <w:szCs w:val="24"/>
          <w:rtl w:val="0"/>
        </w:rPr>
        <w:t xml:space="preserve">Des Jeux exemplaires et innovants</w:t>
      </w:r>
    </w:p>
    <w:p w:rsidR="00000000" w:rsidDel="00000000" w:rsidP="00000000" w:rsidRDefault="00000000" w:rsidRPr="00000000" w14:paraId="00000111">
      <w:pPr>
        <w:rPr/>
      </w:pPr>
      <w:r w:rsidDel="00000000" w:rsidR="00000000" w:rsidRPr="00000000">
        <w:rPr>
          <w:rtl w:val="0"/>
        </w:rPr>
        <w:t xml:space="preserve">Paris 2024 souhaite créer un nouveau standard dans l’organisation des événements sportifs, en s’engageant dans une démarche d’exemplarité à 360°, sur l’ensemble des aspects liés à la livraison des Jeux, avec le recours notamment : aux énergies renouvelables ; aux transports propres pour la famille olympique et aux transports en commun et à la mobilité douce pour les spectateurs ; à une stratégie responsable des achats sur l’ensemble des marchés qui serons conclus pour les Jeux ; à des services de restauration durable ; à la lutte contre le gaspillage alimentaire ; à la réduction et le traitement des déchets ; à la préservation de la biodiversité, de l’eau et de la qualité de l’air.</w:t>
      </w:r>
    </w:p>
    <w:p w:rsidR="00000000" w:rsidDel="00000000" w:rsidP="00000000" w:rsidRDefault="00000000" w:rsidRPr="00000000" w14:paraId="00000112">
      <w:pPr>
        <w:rPr>
          <w:color w:val="000000"/>
        </w:rPr>
      </w:pPr>
      <w:r w:rsidDel="00000000" w:rsidR="00000000" w:rsidRPr="00000000">
        <w:rPr>
          <w:color w:val="000000"/>
          <w:rtl w:val="0"/>
        </w:rPr>
        <w:t xml:space="preserve">Paris 2024 est à ce titre signataire de la Charte des 15 engagements du ministère des Sports et du WWF France et travaille avec l’ensemble de ses parties prenantes, partenaires et prestataires à l’atteinte de ces objectifs pour la livraison des Jeux.</w:t>
      </w:r>
    </w:p>
    <w:p w:rsidR="00000000" w:rsidDel="00000000" w:rsidP="00000000" w:rsidRDefault="00000000" w:rsidRPr="00000000" w14:paraId="00000113">
      <w:pPr>
        <w:rPr/>
      </w:pPr>
      <w:r w:rsidDel="00000000" w:rsidR="00000000" w:rsidRPr="00000000">
        <w:rPr>
          <w:rtl w:val="0"/>
        </w:rPr>
        <w:t xml:space="preserve">En complément, afin d’atteindre ses objectifs ambitieux, Paris 2024 se dote d’une capacité à chercher et générer de l’innovation, à travers la réalisation d’appels à projets, et avec la collaboration des instances compétentes dans chaque thématique durable.</w:t>
      </w:r>
    </w:p>
    <w:p w:rsidR="00000000" w:rsidDel="00000000" w:rsidP="00000000" w:rsidRDefault="00000000" w:rsidRPr="00000000" w14:paraId="00000114">
      <w:pPr>
        <w:pStyle w:val="Heading3"/>
        <w:numPr>
          <w:ilvl w:val="2"/>
          <w:numId w:val="14"/>
        </w:numPr>
        <w:ind w:left="2160" w:hanging="360"/>
        <w:rPr>
          <w:rFonts w:ascii="Paris2024" w:cs="Paris2024" w:eastAsia="Paris2024" w:hAnsi="Paris2024"/>
          <w:color w:val="006aff"/>
          <w:sz w:val="24"/>
          <w:szCs w:val="24"/>
        </w:rPr>
      </w:pPr>
      <w:bookmarkStart w:colFirst="0" w:colLast="0" w:name="_heading=h.2s8eyo1" w:id="9"/>
      <w:bookmarkEnd w:id="9"/>
      <w:r w:rsidDel="00000000" w:rsidR="00000000" w:rsidRPr="00000000">
        <w:rPr>
          <w:rFonts w:ascii="Paris2024" w:cs="Paris2024" w:eastAsia="Paris2024" w:hAnsi="Paris2024"/>
          <w:color w:val="006aff"/>
          <w:sz w:val="24"/>
          <w:szCs w:val="24"/>
          <w:rtl w:val="0"/>
        </w:rPr>
        <w:t xml:space="preserve">Des Jeux comme accélérateurs de la transition écologique</w:t>
      </w:r>
    </w:p>
    <w:p w:rsidR="00000000" w:rsidDel="00000000" w:rsidP="00000000" w:rsidRDefault="00000000" w:rsidRPr="00000000" w14:paraId="00000115">
      <w:pPr>
        <w:rPr/>
      </w:pPr>
      <w:r w:rsidDel="00000000" w:rsidR="00000000" w:rsidRPr="00000000">
        <w:rPr>
          <w:rtl w:val="0"/>
        </w:rPr>
        <w:t xml:space="preserve">Les Jeux ce sont 4 milliards de téléspectateurs, 13 millions de billets vendus, 15000 athlètes et 206 nations réunies. </w:t>
      </w:r>
    </w:p>
    <w:p w:rsidR="00000000" w:rsidDel="00000000" w:rsidP="00000000" w:rsidRDefault="00000000" w:rsidRPr="00000000" w14:paraId="00000116">
      <w:pPr>
        <w:rPr>
          <w:color w:val="000000"/>
        </w:rPr>
      </w:pPr>
      <w:r w:rsidDel="00000000" w:rsidR="00000000" w:rsidRPr="00000000">
        <w:rPr>
          <w:color w:val="000000"/>
          <w:rtl w:val="0"/>
        </w:rPr>
        <w:t xml:space="preserve">Par l’ampleur de l’événement, les Jeux sont une opportunité pour aller plus loin et pour mettre le pouvoir du sport au service de la transition écologique. Paris 2024 se positionne ainsi comme moteur de changement à travers des actions de mobilisation, d’engagement et de construction d’héritage durable avec - et pour - les parties prenantes et territoires nationaux, les fédérations et organisations sportives, ses ambassadeurs (athlètes, leaders d’opinion…), ses sponsors, des ONG et Organisations Internationales, les employés des entités de la famille Paris 2024, et le grand public. </w:t>
      </w:r>
    </w:p>
    <w:p w:rsidR="00000000" w:rsidDel="00000000" w:rsidP="00000000" w:rsidRDefault="00000000" w:rsidRPr="00000000" w14:paraId="00000117">
      <w:pPr>
        <w:rPr>
          <w:color w:val="000000"/>
        </w:rPr>
      </w:pPr>
      <w:r w:rsidDel="00000000" w:rsidR="00000000" w:rsidRPr="00000000">
        <w:rPr>
          <w:color w:val="000000"/>
          <w:rtl w:val="0"/>
        </w:rPr>
        <w:t xml:space="preserve">C’est dans ce cadre que Paris 2024 soutient le programme d’accélération de la transition écologique du sport du WWF France, afin de contribuer à la dynamique collective en faveur d’un sport durable et responsable.</w:t>
      </w:r>
    </w:p>
    <w:p w:rsidR="00000000" w:rsidDel="00000000" w:rsidP="00000000" w:rsidRDefault="00000000" w:rsidRPr="00000000" w14:paraId="00000118">
      <w:pPr>
        <w:pStyle w:val="Heading2"/>
        <w:numPr>
          <w:ilvl w:val="1"/>
          <w:numId w:val="14"/>
        </w:numPr>
        <w:ind w:left="1796" w:hanging="720"/>
        <w:rPr/>
      </w:pPr>
      <w:bookmarkStart w:colFirst="0" w:colLast="0" w:name="_heading=h.17dp8vu" w:id="10"/>
      <w:bookmarkEnd w:id="10"/>
      <w:r w:rsidDel="00000000" w:rsidR="00000000" w:rsidRPr="00000000">
        <w:rPr>
          <w:rtl w:val="0"/>
        </w:rPr>
        <w:t xml:space="preserve">La Vision pour la restauration de Paris 2024</w:t>
      </w:r>
    </w:p>
    <w:p w:rsidR="00000000" w:rsidDel="00000000" w:rsidP="00000000" w:rsidRDefault="00000000" w:rsidRPr="00000000" w14:paraId="00000119">
      <w:pPr>
        <w:rPr/>
      </w:pPr>
      <w:bookmarkStart w:colFirst="0" w:colLast="0" w:name="_heading=h.3rdcrjn" w:id="11"/>
      <w:bookmarkEnd w:id="11"/>
      <w:r w:rsidDel="00000000" w:rsidR="00000000" w:rsidRPr="00000000">
        <w:rPr>
          <w:rtl w:val="0"/>
        </w:rPr>
        <w:t xml:space="preserve">La Vision pour la Restauration de Paris 2024 est le fruit d’une consultation large de l’écosystème alimentaire français : 120 acteurs sur toute la chaîne (représentants des filières, territoires, acteurs de la restauration, nutritionnistes, experts et ONG…) + 200 athlètes français et internationaux. </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Elle est ouverte sur les défis climatiques, environnementaux et sociaux grâce à des engagements forts pour une alimentation plus végétale, plus locale, plus responsable pour les Jeux et leur héritage :</w:t>
      </w:r>
    </w:p>
    <w:p w:rsidR="00000000" w:rsidDel="00000000" w:rsidP="00000000" w:rsidRDefault="00000000" w:rsidRPr="00000000" w14:paraId="0000011B">
      <w:pPr>
        <w:rPr/>
      </w:pPr>
      <w:r w:rsidDel="00000000" w:rsidR="00000000" w:rsidRPr="00000000">
        <w:rPr>
          <w:rtl w:val="0"/>
        </w:rPr>
        <w:t xml:space="preserve">6 engagements phare et 60 sous engagements, inédit dans l’histoire des Jeux, qui constitue le cahier des charges pour tous les prestataires et partenaires des Jeux) :</w:t>
      </w:r>
    </w:p>
    <w:p w:rsidR="00000000" w:rsidDel="00000000" w:rsidP="00000000" w:rsidRDefault="00000000" w:rsidRPr="00000000" w14:paraId="0000011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0"/>
          <w:strike w:val="0"/>
          <w:color w:val="000000"/>
          <w:sz w:val="21"/>
          <w:szCs w:val="21"/>
          <w:u w:val="none"/>
          <w:shd w:fill="auto" w:val="clear"/>
          <w:vertAlign w:val="baseline"/>
          <w:rtl w:val="0"/>
        </w:rPr>
        <w:t xml:space="preserve">Diviser par 2 le poids carbone moyen du repas</w:t>
      </w: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 en mettant deux fois plus de végétal dans les assiettes &gt; un objectif directement aligné des ambitions climat pour les Jeux et sur les recommandations ADEME et Plan National Nutrition Santé qui recommande de bouger plus et manger plus de fruits et légumes (5 fruits et légumes par jour)</w:t>
      </w:r>
    </w:p>
    <w:p w:rsidR="00000000" w:rsidDel="00000000" w:rsidP="00000000" w:rsidRDefault="00000000" w:rsidRPr="00000000" w14:paraId="0000011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rFonts w:ascii="Source Sans Pro Light" w:cs="Source Sans Pro Light" w:eastAsia="Source Sans Pro Light" w:hAnsi="Source Sans Pro Light"/>
          <w:b w:val="1"/>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100% d’alimentation certifiée,</w:t>
      </w:r>
      <w:r w:rsidDel="00000000" w:rsidR="00000000" w:rsidRPr="00000000">
        <w:rPr>
          <w:rFonts w:ascii="Source Sans Pro Light" w:cs="Source Sans Pro Light" w:eastAsia="Source Sans Pro Light" w:hAnsi="Source Sans Pro Light"/>
          <w:b w:val="1"/>
          <w:i w:val="0"/>
          <w:smallCaps w:val="0"/>
          <w:strike w:val="0"/>
          <w:color w:val="000000"/>
          <w:sz w:val="21"/>
          <w:szCs w:val="21"/>
          <w:u w:val="none"/>
          <w:shd w:fill="auto" w:val="clear"/>
          <w:vertAlign w:val="baseline"/>
          <w:rtl w:val="0"/>
        </w:rPr>
        <w:t xml:space="preserve"> dont :</w:t>
      </w:r>
    </w:p>
    <w:p w:rsidR="00000000" w:rsidDel="00000000" w:rsidP="00000000" w:rsidRDefault="00000000" w:rsidRPr="00000000" w14:paraId="0000011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80% de produits français (les 20% restant correspondant aux produits non existants en France (café, thé…) et besoins spécifiques des athlètes (ex : riz thaï fruits et légumes exotiques…)</w:t>
      </w:r>
    </w:p>
    <w:p w:rsidR="00000000" w:rsidDel="00000000" w:rsidP="00000000" w:rsidRDefault="00000000" w:rsidRPr="00000000" w14:paraId="0000011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25% de produits à moins de 250km des sites </w:t>
      </w:r>
    </w:p>
    <w:p w:rsidR="00000000" w:rsidDel="00000000" w:rsidP="00000000" w:rsidRDefault="00000000" w:rsidRPr="00000000" w14:paraId="0000012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80% de produits labellisés (en reprenant les critères fixés par le ministère dans le cadre de la Loi EGALIM)</w:t>
      </w:r>
    </w:p>
    <w:p w:rsidR="00000000" w:rsidDel="00000000" w:rsidP="00000000" w:rsidRDefault="00000000" w:rsidRPr="00000000" w14:paraId="0000012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0" w:line="240" w:lineRule="auto"/>
        <w:ind w:left="1134" w:right="0" w:firstLine="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30% de Bio (ambition du Ministère : 20%, </w:t>
      </w:r>
    </w:p>
    <w:p w:rsidR="00000000" w:rsidDel="00000000" w:rsidP="00000000" w:rsidRDefault="00000000" w:rsidRPr="00000000" w14:paraId="00000122">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0"/>
          <w:strike w:val="0"/>
          <w:color w:val="000000"/>
          <w:sz w:val="21"/>
          <w:szCs w:val="21"/>
          <w:u w:val="none"/>
          <w:shd w:fill="auto" w:val="clear"/>
          <w:vertAlign w:val="baseline"/>
          <w:rtl w:val="0"/>
        </w:rPr>
        <w:t xml:space="preserve">Diviser par 2 la quantité de plastique à usage unique </w:t>
      </w: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en phase de consommation avec un nouveau modèle de distribution des boissons (mise en place de fontaines, bouteilles en verre consignées …) et la consigne sur les contenants alimentaires.</w:t>
      </w:r>
    </w:p>
    <w:p w:rsidR="00000000" w:rsidDel="00000000" w:rsidP="00000000" w:rsidRDefault="00000000" w:rsidRPr="00000000" w14:paraId="00000123">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Réduire le gaspillage à la source et valoriser 100% des ressources alimentaires non consommées (revente et don, compost, méthanisation, transformation en alimentation animale)</w:t>
      </w:r>
    </w:p>
    <w:p w:rsidR="00000000" w:rsidDel="00000000" w:rsidP="00000000" w:rsidRDefault="00000000" w:rsidRPr="00000000" w14:paraId="0000012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0"/>
          <w:strike w:val="0"/>
          <w:color w:val="000000"/>
          <w:sz w:val="21"/>
          <w:szCs w:val="21"/>
          <w:u w:val="none"/>
          <w:shd w:fill="auto" w:val="clear"/>
          <w:vertAlign w:val="baseline"/>
          <w:rtl w:val="0"/>
        </w:rPr>
        <w:t xml:space="preserve">Minimum 10% d’insertion professionnelle</w:t>
      </w: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 pour les métiers de la restauration et 15% pour le Village des athlètes avec Sodexo Live !</w:t>
      </w:r>
    </w:p>
    <w:p w:rsidR="00000000" w:rsidDel="00000000" w:rsidP="00000000" w:rsidRDefault="00000000" w:rsidRPr="00000000" w14:paraId="0000012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0" w:before="0" w:line="240" w:lineRule="auto"/>
        <w:ind w:left="1134" w:right="0" w:firstLine="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Optimiser la gestion des ressources :</w:t>
      </w:r>
    </w:p>
    <w:p w:rsidR="00000000" w:rsidDel="00000000" w:rsidP="00000000" w:rsidRDefault="00000000" w:rsidRPr="00000000" w14:paraId="0000012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0" w:before="0" w:line="240" w:lineRule="auto"/>
        <w:ind w:left="1134" w:right="0" w:firstLine="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Assurer 100% de seconde vie pour les équipements et les infrastructures</w:t>
      </w:r>
    </w:p>
    <w:p w:rsidR="00000000" w:rsidDel="00000000" w:rsidP="00000000" w:rsidRDefault="00000000" w:rsidRPr="00000000" w14:paraId="0000012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0" w:before="0" w:line="240" w:lineRule="auto"/>
        <w:ind w:left="1134" w:right="0" w:firstLine="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Veiller à l’économie des ressources en eau et énergie</w:t>
      </w:r>
    </w:p>
    <w:p w:rsidR="00000000" w:rsidDel="00000000" w:rsidP="00000000" w:rsidRDefault="00000000" w:rsidRPr="00000000" w14:paraId="0000012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0" w:before="0" w:line="240" w:lineRule="auto"/>
        <w:ind w:left="1134" w:right="0" w:firstLine="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Viser la réduction de l’impact des transports</w:t>
      </w:r>
    </w:p>
    <w:p w:rsidR="00000000" w:rsidDel="00000000" w:rsidP="00000000" w:rsidRDefault="00000000" w:rsidRPr="00000000" w14:paraId="0000012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0" w:before="0" w:line="240" w:lineRule="auto"/>
        <w:ind w:left="1134" w:right="0" w:firstLine="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Appliquer une politique hygiène alimentaire et sécurité sanitaire exemplaire)</w:t>
      </w:r>
    </w:p>
    <w:p w:rsidR="00000000" w:rsidDel="00000000" w:rsidP="00000000" w:rsidRDefault="00000000" w:rsidRPr="00000000" w14:paraId="0000012A">
      <w:pPr>
        <w:rPr/>
      </w:pPr>
      <w:r w:rsidDel="00000000" w:rsidR="00000000" w:rsidRPr="00000000">
        <w:rPr>
          <w:color w:val="000000"/>
          <w:sz w:val="22"/>
          <w:szCs w:val="22"/>
          <w:rtl w:val="0"/>
        </w:rPr>
        <w:t xml:space="preserve">La </w:t>
      </w:r>
      <w:r w:rsidDel="00000000" w:rsidR="00000000" w:rsidRPr="00000000">
        <w:rPr>
          <w:color w:val="000000"/>
          <w:rtl w:val="0"/>
        </w:rPr>
        <w:t xml:space="preserve">version en ligne est consultable ici : </w:t>
      </w:r>
      <w:hyperlink r:id="rId15">
        <w:r w:rsidDel="00000000" w:rsidR="00000000" w:rsidRPr="00000000">
          <w:rPr>
            <w:b w:val="1"/>
            <w:color w:val="f9b900"/>
            <w:highlight w:val="white"/>
            <w:u w:val="single"/>
            <w:rtl w:val="0"/>
          </w:rPr>
          <w:t xml:space="preserve">https://www.paris2024.org/fr/vision-restauration/</w:t>
        </w:r>
      </w:hyperlink>
      <w:r w:rsidDel="00000000" w:rsidR="00000000" w:rsidRPr="00000000">
        <w:rPr>
          <w:highlight w:val="white"/>
          <w:rtl w:val="0"/>
        </w:rPr>
        <w:t xml:space="preserve"> et est également en </w:t>
      </w:r>
      <w:r w:rsidDel="00000000" w:rsidR="00000000" w:rsidRPr="00000000">
        <w:rPr>
          <w:rtl w:val="0"/>
        </w:rPr>
        <w:t xml:space="preserve">Annexe D « Vision pour la Restauration de Paris 2024 » : Chaque prestataire doit respecter ces exigences et l’application de l’ensemble des engagements décrits dans cette dernière est une obligation contractuelle. </w:t>
      </w:r>
    </w:p>
    <w:p w:rsidR="00000000" w:rsidDel="00000000" w:rsidP="00000000" w:rsidRDefault="00000000" w:rsidRPr="00000000" w14:paraId="0000012B">
      <w:pPr>
        <w:rPr>
          <w:color w:val="000000"/>
        </w:rPr>
      </w:pPr>
      <w:r w:rsidDel="00000000" w:rsidR="00000000" w:rsidRPr="00000000">
        <w:rPr>
          <w:rtl w:val="0"/>
        </w:rPr>
        <w:t xml:space="preserve">La Vision pour la Restauration de Paris 2024 se décline également à travers la stratégie « Zéro Déchets » de Paris 2024 (voir Annexe E « Guide des emballages et contenants alimentaires », la publication au T4 2022 de la Stratégie Zéro Déchets de Paris 2024) et la définition d’un modèle de distribution des boissons à l’image de nos ambitions avec notre partenaire Coca-Cola. </w:t>
      </w:r>
      <w:r w:rsidDel="00000000" w:rsidR="00000000" w:rsidRPr="00000000">
        <w:rPr>
          <w:rtl w:val="0"/>
        </w:rPr>
      </w:r>
    </w:p>
    <w:p w:rsidR="00000000" w:rsidDel="00000000" w:rsidP="00000000" w:rsidRDefault="00000000" w:rsidRPr="00000000" w14:paraId="0000012C">
      <w:pPr>
        <w:pStyle w:val="Heading2"/>
        <w:numPr>
          <w:ilvl w:val="1"/>
          <w:numId w:val="14"/>
        </w:numPr>
        <w:ind w:left="1796" w:hanging="720"/>
        <w:rPr/>
      </w:pPr>
      <w:bookmarkStart w:colFirst="0" w:colLast="0" w:name="_heading=h.26in1rg" w:id="12"/>
      <w:bookmarkEnd w:id="12"/>
      <w:r w:rsidDel="00000000" w:rsidR="00000000" w:rsidRPr="00000000">
        <w:rPr>
          <w:rtl w:val="0"/>
        </w:rPr>
        <w:t xml:space="preserve">Acteurs des jeux</w:t>
      </w:r>
    </w:p>
    <w:p w:rsidR="00000000" w:rsidDel="00000000" w:rsidP="00000000" w:rsidRDefault="00000000" w:rsidRPr="00000000" w14:paraId="0000012D">
      <w:pPr>
        <w:pStyle w:val="Heading3"/>
        <w:numPr>
          <w:ilvl w:val="2"/>
          <w:numId w:val="14"/>
        </w:numPr>
        <w:ind w:left="2160" w:hanging="360"/>
        <w:rPr>
          <w:rFonts w:ascii="Paris2024" w:cs="Paris2024" w:eastAsia="Paris2024" w:hAnsi="Paris2024"/>
          <w:color w:val="006aff"/>
          <w:sz w:val="24"/>
          <w:szCs w:val="24"/>
        </w:rPr>
      </w:pPr>
      <w:bookmarkStart w:colFirst="0" w:colLast="0" w:name="_heading=h.lnxbz9" w:id="13"/>
      <w:bookmarkEnd w:id="13"/>
      <w:r w:rsidDel="00000000" w:rsidR="00000000" w:rsidRPr="00000000">
        <w:rPr>
          <w:rFonts w:ascii="Paris2024" w:cs="Paris2024" w:eastAsia="Paris2024" w:hAnsi="Paris2024"/>
          <w:color w:val="006aff"/>
          <w:sz w:val="24"/>
          <w:szCs w:val="24"/>
          <w:rtl w:val="0"/>
        </w:rPr>
        <w:t xml:space="preserve">Paris 2024</w:t>
      </w:r>
    </w:p>
    <w:p w:rsidR="00000000" w:rsidDel="00000000" w:rsidP="00000000" w:rsidRDefault="00000000" w:rsidRPr="00000000" w14:paraId="0000012E">
      <w:pPr>
        <w:rPr/>
      </w:pPr>
      <w:r w:rsidDel="00000000" w:rsidR="00000000" w:rsidRPr="00000000">
        <w:rPr>
          <w:rtl w:val="0"/>
        </w:rPr>
        <w:t xml:space="preserve">Paris 2024 est le Comité d’organisation des Jeux Olympiques et Paralympiques d’été de 2024. </w:t>
      </w:r>
    </w:p>
    <w:p w:rsidR="00000000" w:rsidDel="00000000" w:rsidP="00000000" w:rsidRDefault="00000000" w:rsidRPr="00000000" w14:paraId="0000012F">
      <w:pPr>
        <w:rPr/>
      </w:pPr>
      <w:r w:rsidDel="00000000" w:rsidR="00000000" w:rsidRPr="00000000">
        <w:rPr>
          <w:rtl w:val="0"/>
        </w:rPr>
        <w:t xml:space="preserve">Il est notamment chargé de : </w:t>
      </w:r>
    </w:p>
    <w:p w:rsidR="00000000" w:rsidDel="00000000" w:rsidP="00000000" w:rsidRDefault="00000000" w:rsidRPr="00000000" w14:paraId="0000013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Planifier, organiser, financer et livrer les JO et JP de Paris 2024, ainsi que les événements associés ;</w:t>
      </w:r>
    </w:p>
    <w:p w:rsidR="00000000" w:rsidDel="00000000" w:rsidP="00000000" w:rsidRDefault="00000000" w:rsidRPr="00000000" w14:paraId="0000013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Promouvoir les Jeux en France et à l’international ;</w:t>
      </w:r>
    </w:p>
    <w:p w:rsidR="00000000" w:rsidDel="00000000" w:rsidP="00000000" w:rsidRDefault="00000000" w:rsidRPr="00000000" w14:paraId="00000132">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Participer aux actions visant à assurer la durabilité des Jeux de Paris 2024 ;</w:t>
      </w:r>
    </w:p>
    <w:p w:rsidR="00000000" w:rsidDel="00000000" w:rsidP="00000000" w:rsidRDefault="00000000" w:rsidRPr="00000000" w14:paraId="00000133">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Contribuer à maximiser l’impact positif et l’héritage des Jeux de Paris 2024, notamment en faveur de la pratique du sport. </w:t>
      </w:r>
    </w:p>
    <w:p w:rsidR="00000000" w:rsidDel="00000000" w:rsidP="00000000" w:rsidRDefault="00000000" w:rsidRPr="00000000" w14:paraId="00000134">
      <w:pPr>
        <w:pStyle w:val="Heading3"/>
        <w:numPr>
          <w:ilvl w:val="2"/>
          <w:numId w:val="14"/>
        </w:numPr>
        <w:ind w:left="2160" w:hanging="360"/>
        <w:rPr>
          <w:rFonts w:ascii="Paris2024" w:cs="Paris2024" w:eastAsia="Paris2024" w:hAnsi="Paris2024"/>
          <w:color w:val="006aff"/>
          <w:sz w:val="24"/>
          <w:szCs w:val="24"/>
        </w:rPr>
      </w:pPr>
      <w:bookmarkStart w:colFirst="0" w:colLast="0" w:name="_heading=h.35nkun2" w:id="14"/>
      <w:bookmarkEnd w:id="14"/>
      <w:r w:rsidDel="00000000" w:rsidR="00000000" w:rsidRPr="00000000">
        <w:rPr>
          <w:rFonts w:ascii="Paris2024" w:cs="Paris2024" w:eastAsia="Paris2024" w:hAnsi="Paris2024"/>
          <w:color w:val="006aff"/>
          <w:sz w:val="24"/>
          <w:szCs w:val="24"/>
          <w:rtl w:val="0"/>
        </w:rPr>
        <w:t xml:space="preserve">Les parties prenantes</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1ksv4uv" w:id="15"/>
      <w:bookmarkEnd w:id="15"/>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Les Fédérations Internationales</w:t>
      </w:r>
    </w:p>
    <w:p w:rsidR="00000000" w:rsidDel="00000000" w:rsidP="00000000" w:rsidRDefault="00000000" w:rsidRPr="00000000" w14:paraId="00000136">
      <w:pPr>
        <w:rPr/>
      </w:pPr>
      <w:r w:rsidDel="00000000" w:rsidR="00000000" w:rsidRPr="00000000">
        <w:rPr>
          <w:rtl w:val="0"/>
        </w:rPr>
        <w:t xml:space="preserve">Les FI sont des organisations internationales non gouvernementales, reconnues par le CIO et l’IPC. Elles régissent un ou plusieurs sports sur le plan mondial et supervisent les organisations qui gèrent ces mêmes sports au niveau national, à savoir les fédérations sportives nationales. </w:t>
      </w:r>
    </w:p>
    <w:p w:rsidR="00000000" w:rsidDel="00000000" w:rsidP="00000000" w:rsidRDefault="00000000" w:rsidRPr="00000000" w14:paraId="00000137">
      <w:pPr>
        <w:rPr/>
      </w:pPr>
      <w:r w:rsidDel="00000000" w:rsidR="00000000" w:rsidRPr="00000000">
        <w:rPr>
          <w:rtl w:val="0"/>
        </w:rPr>
        <w:t xml:space="preserve">La mission des FI est définie à l’article 26 de la </w:t>
      </w:r>
      <w:hyperlink r:id="rId16">
        <w:r w:rsidDel="00000000" w:rsidR="00000000" w:rsidRPr="00000000">
          <w:rPr>
            <w:rFonts w:ascii="Paris2024" w:cs="Paris2024" w:eastAsia="Paris2024" w:hAnsi="Paris2024"/>
            <w:color w:val="f9b900"/>
            <w:u w:val="single"/>
            <w:rtl w:val="0"/>
          </w:rPr>
          <w:t xml:space="preserve">Charte Olympique</w:t>
        </w:r>
      </w:hyperlink>
      <w:r w:rsidDel="00000000" w:rsidR="00000000" w:rsidRPr="00000000">
        <w:rPr>
          <w:rtl w:val="0"/>
        </w:rPr>
        <w:t xml:space="preserve"> :</w:t>
      </w:r>
    </w:p>
    <w:p w:rsidR="00000000" w:rsidDel="00000000" w:rsidP="00000000" w:rsidRDefault="00000000" w:rsidRPr="00000000" w14:paraId="00000138">
      <w:pPr>
        <w:rPr/>
      </w:pPr>
      <w:r w:rsidDel="00000000" w:rsidR="00000000" w:rsidRPr="00000000">
        <w:rPr>
          <w:rtl w:val="0"/>
        </w:rPr>
        <w:t xml:space="preserve">« La mission et le rôle des FI au sein du Mouvement Olympique sont :</w:t>
      </w:r>
    </w:p>
    <w:p w:rsidR="00000000" w:rsidDel="00000000" w:rsidP="00000000" w:rsidRDefault="00000000" w:rsidRPr="00000000" w14:paraId="0000013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0" w:line="240" w:lineRule="auto"/>
        <w:ind w:left="1134" w:right="0" w:hanging="567"/>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D’établir et mettre en vigueur, conformément à l’esprit olympique, les règles relatives à la pratique de leurs sports respectifs et de veiller à leur application ;</w:t>
      </w:r>
    </w:p>
    <w:p w:rsidR="00000000" w:rsidDel="00000000" w:rsidP="00000000" w:rsidRDefault="00000000" w:rsidRPr="00000000" w14:paraId="0000013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0" w:line="240" w:lineRule="auto"/>
        <w:ind w:left="1134" w:right="0" w:hanging="567"/>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D’assurer le développement de leur sport dans le monde entier ;</w:t>
      </w:r>
    </w:p>
    <w:p w:rsidR="00000000" w:rsidDel="00000000" w:rsidP="00000000" w:rsidRDefault="00000000" w:rsidRPr="00000000" w14:paraId="0000013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0" w:line="240" w:lineRule="auto"/>
        <w:ind w:left="1134" w:right="0" w:hanging="567"/>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De contribuer à la réalisation des buts fixés dans la Charte Olympique, notamment par la diffusion de l’Olympisme et de l’éducation olympique ;</w:t>
      </w:r>
    </w:p>
    <w:p w:rsidR="00000000" w:rsidDel="00000000" w:rsidP="00000000" w:rsidRDefault="00000000" w:rsidRPr="00000000" w14:paraId="0000013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0" w:line="240" w:lineRule="auto"/>
        <w:ind w:left="1134" w:right="0" w:hanging="567"/>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D’aider le CIO à analyser les Candidatures des villes candidates à l’organisation des Jeux Olympiques pour leurs sports respectifs ;</w:t>
      </w:r>
    </w:p>
    <w:p w:rsidR="00000000" w:rsidDel="00000000" w:rsidP="00000000" w:rsidRDefault="00000000" w:rsidRPr="00000000" w14:paraId="0000013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0" w:line="240" w:lineRule="auto"/>
        <w:ind w:left="1134" w:right="0" w:hanging="567"/>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D’assumer la responsabilité du contrôle et de la direction de leur sport aux Jeux Olympiques ;</w:t>
      </w:r>
    </w:p>
    <w:p w:rsidR="00000000" w:rsidDel="00000000" w:rsidP="00000000" w:rsidRDefault="00000000" w:rsidRPr="00000000" w14:paraId="0000013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0" w:line="240" w:lineRule="auto"/>
        <w:ind w:left="1134" w:right="0" w:hanging="567"/>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Pour les autres compétitions multi sportives internationales placées sous le patronage du CIO, les FI peuvent assumer ou déléguer la responsabilité du contrôle et de la direction de leur sport ;</w:t>
      </w:r>
    </w:p>
    <w:p w:rsidR="00000000" w:rsidDel="00000000" w:rsidP="00000000" w:rsidRDefault="00000000" w:rsidRPr="00000000" w14:paraId="0000013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0" w:line="240" w:lineRule="auto"/>
        <w:ind w:left="1134" w:right="0" w:hanging="567"/>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De fournir une assistance technique pour la mise en œuvre des programmes de la Solidarité Olympique ;</w:t>
      </w:r>
    </w:p>
    <w:p w:rsidR="00000000" w:rsidDel="00000000" w:rsidP="00000000" w:rsidRDefault="00000000" w:rsidRPr="00000000" w14:paraId="0000014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0" w:line="240" w:lineRule="auto"/>
        <w:ind w:left="1134" w:right="0" w:hanging="567"/>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D’encourager et soutenir les mesures relatives aux soins médicaux et à la santé des athlètes. »</w:t>
      </w:r>
    </w:p>
    <w:p w:rsidR="00000000" w:rsidDel="00000000" w:rsidP="00000000" w:rsidRDefault="00000000" w:rsidRPr="00000000" w14:paraId="00000141">
      <w:pPr>
        <w:rPr/>
      </w:pPr>
      <w:r w:rsidDel="00000000" w:rsidR="00000000" w:rsidRPr="00000000">
        <w:rPr>
          <w:rtl w:val="0"/>
        </w:rPr>
        <w:t xml:space="preserve">De plus, les FI ont le droit de :</w:t>
      </w:r>
    </w:p>
    <w:p w:rsidR="00000000" w:rsidDel="00000000" w:rsidP="00000000" w:rsidRDefault="00000000" w:rsidRPr="00000000" w14:paraId="0000014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1134" w:right="0" w:hanging="567"/>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Formuler des propositions à l’intention du CIO en ce qui concerne la Charte Olympique et le Mouvement Olympique ;</w:t>
      </w:r>
      <w:r w:rsidDel="00000000" w:rsidR="00000000" w:rsidRPr="00000000">
        <w:rPr>
          <w:rtl w:val="0"/>
        </w:rPr>
      </w:r>
    </w:p>
    <w:p w:rsidR="00000000" w:rsidDel="00000000" w:rsidP="00000000" w:rsidRDefault="00000000" w:rsidRPr="00000000" w14:paraId="0000014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1134" w:right="0" w:hanging="567"/>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Collaborer à la préparation des congrès olympiques ;</w:t>
      </w:r>
    </w:p>
    <w:p w:rsidR="00000000" w:rsidDel="00000000" w:rsidP="00000000" w:rsidRDefault="00000000" w:rsidRPr="00000000" w14:paraId="0000014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1134" w:right="0" w:hanging="567"/>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Participer, à la demande du CIO, aux Activités des commissions du CIO.</w:t>
      </w:r>
    </w:p>
    <w:p w:rsidR="00000000" w:rsidDel="00000000" w:rsidP="00000000" w:rsidRDefault="00000000" w:rsidRPr="00000000" w14:paraId="00000145">
      <w:pPr>
        <w:rPr>
          <w:rFonts w:ascii="Paris2024" w:cs="Paris2024" w:eastAsia="Paris2024" w:hAnsi="Paris2024"/>
        </w:rPr>
      </w:pPr>
      <w:r w:rsidDel="00000000" w:rsidR="00000000" w:rsidRPr="00000000">
        <w:rPr>
          <w:rtl w:val="0"/>
        </w:rPr>
        <w:t xml:space="preserve">Les statuts, les pratiques et les activités des FI au sein du Mouvement Olympique doivent être conformes à l’article 26 de la Charte Olympique, et notamment en ce qui concerne l’adoption et la mise en œuvre du Code Mondial Antidopage, ainsi que du code du Mouvement Olympique sur la prévention des manipulations de compétitions. Les FI conservent leur indépendance et leur autonomie dans la gouvernance de leur sport. A ce titre, ce sont elles qui fixent les exigences et directives techniques pour tout ce qui se rapporte aux compétitions sportives</w:t>
      </w:r>
      <w:r w:rsidDel="00000000" w:rsidR="00000000" w:rsidRPr="00000000">
        <w:rPr>
          <w:rFonts w:ascii="Paris2024" w:cs="Paris2024" w:eastAsia="Paris2024" w:hAnsi="Paris2024"/>
          <w:rtl w:val="0"/>
        </w:rPr>
        <w:t xml:space="preserve">.</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44sinio" w:id="16"/>
      <w:bookmarkEnd w:id="16"/>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Olympic Broadcast Services (OBS)</w:t>
      </w:r>
    </w:p>
    <w:p w:rsidR="00000000" w:rsidDel="00000000" w:rsidP="00000000" w:rsidRDefault="00000000" w:rsidRPr="00000000" w14:paraId="00000147">
      <w:pPr>
        <w:rPr/>
      </w:pPr>
      <w:r w:rsidDel="00000000" w:rsidR="00000000" w:rsidRPr="00000000">
        <w:rPr>
          <w:rtl w:val="0"/>
        </w:rPr>
        <w:t xml:space="preserve">OBS a été créé par la Commission Exécutive du CIO en 2001 afin de permettre aux détenteurs de droits de fournir la meilleure couverture télévisuelle et radiophonique possible lors des JOP. </w:t>
      </w:r>
    </w:p>
    <w:p w:rsidR="00000000" w:rsidDel="00000000" w:rsidP="00000000" w:rsidRDefault="00000000" w:rsidRPr="00000000" w14:paraId="00000148">
      <w:pPr>
        <w:rPr/>
      </w:pPr>
      <w:r w:rsidDel="00000000" w:rsidR="00000000" w:rsidRPr="00000000">
        <w:rPr>
          <w:rtl w:val="0"/>
        </w:rPr>
        <w:t xml:space="preserve">En tant que diffuseur hôte des Jeux, OBS a la charge et la responsabilité de la production télévisuelle (images et son) des JOP mais également de la fourniture des équipements et services nécessaires aux Diffuseurs Détenteurs De Droits (RHB), comme prévu par la Charte Olympique, le CVH et le Broadcast Cooperation Agreement (BCA : accord de coopération signé entre Paris 2024 et OBS qui définit les rôles et obligations de chacune des deux entités l’une vis-à-vis de l’autre.) </w:t>
      </w:r>
    </w:p>
    <w:p w:rsidR="00000000" w:rsidDel="00000000" w:rsidP="00000000" w:rsidRDefault="00000000" w:rsidRPr="00000000" w14:paraId="00000149">
      <w:pPr>
        <w:rPr/>
      </w:pPr>
      <w:r w:rsidDel="00000000" w:rsidR="00000000" w:rsidRPr="00000000">
        <w:rPr>
          <w:rtl w:val="0"/>
        </w:rPr>
        <w:t xml:space="preserve">OBS remplira ses obligations, en lien avec Paris 2024 et les autres Parties Prenantes De La Livraison des Jeux, en vue d’une livraison performante et efficace des JOP, et conformément aux lois applicables et aux exigences opérationnelles du CVH. A noter que les obligations d’OBS vis-à-vis des Diffuseurs Détenteurs De Droits sont régis par des contrats distincts entre le CIO, OBS et les Diffuseurs Détenteurs De Droits.</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2jxsxqh" w:id="17"/>
      <w:bookmarkEnd w:id="17"/>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Les Partenaires de Marketing </w:t>
      </w:r>
    </w:p>
    <w:p w:rsidR="00000000" w:rsidDel="00000000" w:rsidP="00000000" w:rsidRDefault="00000000" w:rsidRPr="00000000" w14:paraId="0000014B">
      <w:pPr>
        <w:rPr>
          <w:color w:val="000000"/>
        </w:rPr>
      </w:pPr>
      <w:r w:rsidDel="00000000" w:rsidR="00000000" w:rsidRPr="00000000">
        <w:rPr>
          <w:color w:val="0e0e0e"/>
          <w:rtl w:val="0"/>
        </w:rPr>
        <w:t xml:space="preserve">Les Partenaires de Marketing sont les entreprises qui ont acquis auprès du CIO (dits partenaires olympiques mondiaux ou partenaires TOP) ou de Paris 2024 (dits partenaires domestiques) des droits de marketing exclusifs, dans une catégorie de produits et services donnée, en contrepartie d’une redevance financière ou d’un apport en nature (VIK, pour « Value in Kind »). Paris 2024 assure une gestion centralisée de tous les Partenaires de Marketing sur le territoire hôte, qu’ils aient acquis leurs droits auprès du CIO ou de Paris 2024. </w:t>
      </w:r>
      <w:r w:rsidDel="00000000" w:rsidR="00000000" w:rsidRPr="00000000">
        <w:rPr>
          <w:color w:val="000000"/>
          <w:rtl w:val="0"/>
        </w:rPr>
        <w:t xml:space="preserve">Le programme de marketing de Paris 2024 est un programme unique : les Partenaires de Marketing sont tous partenaires à la fois des Jeux Olympiques et des Jeux Paralympiques de Paris 2024. </w:t>
      </w:r>
    </w:p>
    <w:p w:rsidR="00000000" w:rsidDel="00000000" w:rsidP="00000000" w:rsidRDefault="00000000" w:rsidRPr="00000000" w14:paraId="0000014C">
      <w:pPr>
        <w:rPr>
          <w:color w:val="000000"/>
        </w:rPr>
      </w:pPr>
      <w:r w:rsidDel="00000000" w:rsidR="00000000" w:rsidRPr="00000000">
        <w:rPr>
          <w:rtl w:val="0"/>
        </w:rPr>
        <w:t xml:space="preserve">Les droits acquis par les Partenaires de Marketing pour pouvoir s’associer aux Jeux sont de plusieurs natures : la fourniture exclusive de produits et de services en lien avec leur cœur de métier, l’usage des propriétés olympiques et paralympiques, l’hospitalité sur les lieux de compétition, la création d’expériences novatrices pour les fans, etc. </w:t>
      </w:r>
      <w:r w:rsidDel="00000000" w:rsidR="00000000" w:rsidRPr="00000000">
        <w:rPr>
          <w:rtl w:val="0"/>
        </w:rPr>
      </w:r>
    </w:p>
    <w:p w:rsidR="00000000" w:rsidDel="00000000" w:rsidP="00000000" w:rsidRDefault="00000000" w:rsidRPr="00000000" w14:paraId="0000014D">
      <w:pPr>
        <w:rPr>
          <w:b w:val="1"/>
          <w:color w:val="000000"/>
        </w:rPr>
      </w:pPr>
      <w:r w:rsidDel="00000000" w:rsidR="00000000" w:rsidRPr="00000000">
        <w:rPr>
          <w:color w:val="000000"/>
          <w:rtl w:val="0"/>
        </w:rPr>
        <w:t xml:space="preserve">Grâce à leur soutien, les Partenaires de Marketing apportent le financement et les services nécessaires au bon déroulement des Jeux. Certains d’entre eux jouent un rôle opérationnel majeur dans l’organisation des événements sportifs. A titre d’exemples :</w:t>
      </w:r>
      <w:r w:rsidDel="00000000" w:rsidR="00000000" w:rsidRPr="00000000">
        <w:rPr>
          <w:rtl w:val="0"/>
        </w:rPr>
      </w:r>
    </w:p>
    <w:p w:rsidR="00000000" w:rsidDel="00000000" w:rsidP="00000000" w:rsidRDefault="00000000" w:rsidRPr="00000000" w14:paraId="0000014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0"/>
          <w:strike w:val="0"/>
          <w:color w:val="000000"/>
          <w:sz w:val="21"/>
          <w:szCs w:val="21"/>
          <w:u w:val="none"/>
          <w:shd w:fill="auto" w:val="clear"/>
          <w:vertAlign w:val="baseline"/>
          <w:rtl w:val="0"/>
        </w:rPr>
        <w:t xml:space="preserve">Coca-Cola</w:t>
      </w: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 rafraîchit les athlètes olympiques, les officiels et les spectateurs pendant les Jeux en fournissant, entre autres, les boissons sur tous les sites de compétition. En complément, Coca-Cola a également l’opportunité de fournir les frigos ainsi que le mobilier présent dans les concessions (tables, chaises, poubelles)</w:t>
      </w:r>
    </w:p>
    <w:p w:rsidR="00000000" w:rsidDel="00000000" w:rsidP="00000000" w:rsidRDefault="00000000" w:rsidRPr="00000000" w14:paraId="0000014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0"/>
          <w:strike w:val="0"/>
          <w:color w:val="000000"/>
          <w:sz w:val="21"/>
          <w:szCs w:val="21"/>
          <w:u w:val="none"/>
          <w:shd w:fill="auto" w:val="clear"/>
          <w:vertAlign w:val="baseline"/>
          <w:rtl w:val="0"/>
        </w:rPr>
        <w:t xml:space="preserve">Omega</w:t>
      </w: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 fournit et opère les services de chronométrage et d’affichage des résultats de toutes les compétitions sportives des Jeux</w:t>
      </w:r>
    </w:p>
    <w:p w:rsidR="00000000" w:rsidDel="00000000" w:rsidP="00000000" w:rsidRDefault="00000000" w:rsidRPr="00000000" w14:paraId="0000015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0"/>
          <w:strike w:val="0"/>
          <w:color w:val="000000"/>
          <w:sz w:val="21"/>
          <w:szCs w:val="21"/>
          <w:u w:val="none"/>
          <w:shd w:fill="auto" w:val="clear"/>
          <w:vertAlign w:val="baseline"/>
          <w:rtl w:val="0"/>
        </w:rPr>
        <w:t xml:space="preserve">Toyota </w:t>
      </w: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fournit les véhicules formant la flotte officielle de Paris 2024 mais aussi d’autres types de véhicules tels les chariots élévateurs ou des e-Palettes autonomes. Toyota peut également intervenir en fournissant à Paris 2024 des services de mobilité et de gestion des flux de transport</w:t>
      </w:r>
    </w:p>
    <w:p w:rsidR="00000000" w:rsidDel="00000000" w:rsidP="00000000" w:rsidRDefault="00000000" w:rsidRPr="00000000" w14:paraId="0000015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0"/>
          <w:strike w:val="0"/>
          <w:color w:val="000000"/>
          <w:sz w:val="21"/>
          <w:szCs w:val="21"/>
          <w:u w:val="none"/>
          <w:shd w:fill="auto" w:val="clear"/>
          <w:vertAlign w:val="baseline"/>
          <w:rtl w:val="0"/>
        </w:rPr>
        <w:t xml:space="preserve">Visa </w:t>
      </w: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fournit et opère les services de paiement des opérations des Jeux online (billetterie) et sur site (concessions et boutiques)</w:t>
      </w:r>
    </w:p>
    <w:p w:rsidR="00000000" w:rsidDel="00000000" w:rsidP="00000000" w:rsidRDefault="00000000" w:rsidRPr="00000000" w14:paraId="00000152">
      <w:pPr>
        <w:rPr/>
      </w:pPr>
      <w:r w:rsidDel="00000000" w:rsidR="00000000" w:rsidRPr="00000000">
        <w:rPr>
          <w:rtl w:val="0"/>
        </w:rPr>
        <w:t xml:space="preserve">Paris 2024 souhaite préciser au Candidat Retenu les éléments nécessaires à sa bonne compréhension du programme de partenariats de Paris 2024 et lui permettre de se projeter dans la livraison opérationnelle en intégrant les produits et services des Partenaires de Marketing. Il est néanmoins précisé que, même si le Candidat Retenu pourra être en relation directe avec certains Partenaires de Marketing, Paris 2024 restera le référent principal des Partenaires de Marketing et pourra intervenir, si nécessaire, pour résoudre tout conflit entre un Candidat Retenu et un Partenaire de Marketing.</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Commercialisation des partenariats</w:t>
      </w:r>
    </w:p>
    <w:p w:rsidR="00000000" w:rsidDel="00000000" w:rsidP="00000000" w:rsidRDefault="00000000" w:rsidRPr="00000000" w14:paraId="00000154">
      <w:pPr>
        <w:rPr/>
      </w:pPr>
      <w:r w:rsidDel="00000000" w:rsidR="00000000" w:rsidRPr="00000000">
        <w:rPr>
          <w:rtl w:val="0"/>
        </w:rPr>
        <w:t xml:space="preserve">Le programme de partenariats de Paris 2024 est un programme en constante évolution : les discussions commerciales se poursuivent, tant au niveau du CIO que de Paris 2024, et ces derniers peuvent à tout moment annoncer la signature d’un nouveau partenaire, au niveau TOP ou au niveau domestique. Ainsi, avant ou après l’attribution du marché, et ce jusqu’à l’approche des Jeux, Paris 2024 pourra exiger du Candidat Retenu d’intégrer les produits et/ou services d’un Partenaire de Marketing dans la livraison de l’Evénement dont il aura la charge.</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Mise en œuvre des obligations de fourniture des produits / services</w:t>
      </w:r>
    </w:p>
    <w:p w:rsidR="00000000" w:rsidDel="00000000" w:rsidP="00000000" w:rsidRDefault="00000000" w:rsidRPr="00000000" w14:paraId="00000156">
      <w:pPr>
        <w:rPr/>
      </w:pPr>
      <w:r w:rsidDel="00000000" w:rsidR="00000000" w:rsidRPr="00000000">
        <w:rPr>
          <w:rtl w:val="0"/>
        </w:rPr>
        <w:t xml:space="preserve">Une fois que les Partenaires de Marketing ont contractualisé avec le CIO ou avec Paris 2024, il convient de travailler à l’intégration de leurs produits et services dans la livraison opérationnelle des Jeux.</w:t>
      </w:r>
    </w:p>
    <w:p w:rsidR="00000000" w:rsidDel="00000000" w:rsidP="00000000" w:rsidRDefault="00000000" w:rsidRPr="00000000" w14:paraId="00000157">
      <w:pPr>
        <w:rPr/>
      </w:pPr>
      <w:r w:rsidDel="00000000" w:rsidR="00000000" w:rsidRPr="00000000">
        <w:rPr>
          <w:rtl w:val="0"/>
        </w:rPr>
        <w:t xml:space="preserve">Les grands principes de cette intégration sont détaillés dans les prochains paragraphes, étant entendu que les conditions relatives à la fourniture de produits et services auprès des Partenaires de Marketing seront détaillées dans les contrats avec le Candidat Retenu concerné.</w:t>
      </w:r>
    </w:p>
    <w:p w:rsidR="00000000" w:rsidDel="00000000" w:rsidP="00000000" w:rsidRDefault="00000000" w:rsidRPr="00000000" w14:paraId="00000158">
      <w:pPr>
        <w:rPr>
          <w:b w:val="1"/>
        </w:rPr>
      </w:pPr>
      <w:r w:rsidDel="00000000" w:rsidR="00000000" w:rsidRPr="00000000">
        <w:rPr>
          <w:b w:val="1"/>
          <w:rtl w:val="0"/>
        </w:rPr>
        <w:t xml:space="preserve">Paris 2024 est le garant du respect des obligations contractées auprès des Partenaires de Marketing en ce qui concerne notamment la fourniture exclusive de produits (1) et/ou services (2) sur le territoire hôte, intégrant ainsi les obligations auprès des Partenaires TOP et des partenaires domestiques.</w:t>
      </w:r>
    </w:p>
    <w:p w:rsidR="00000000" w:rsidDel="00000000" w:rsidP="00000000" w:rsidRDefault="00000000" w:rsidRPr="00000000" w14:paraId="00000159">
      <w:pPr>
        <w:rPr/>
      </w:pPr>
      <w:r w:rsidDel="00000000" w:rsidR="00000000" w:rsidRPr="00000000">
        <w:rPr>
          <w:rtl w:val="0"/>
        </w:rPr>
        <w:t xml:space="preserve">Les modalités de mise en œuvre varient d’un partenaire à l’autre ; il est possible de distinguer 2 grands cas, mais il convient de garder en tête que chaque partenaire est un cas particulier :</w:t>
      </w:r>
    </w:p>
    <w:p w:rsidR="00000000" w:rsidDel="00000000" w:rsidP="00000000" w:rsidRDefault="00000000" w:rsidRPr="00000000" w14:paraId="0000015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120" w:before="0" w:line="240" w:lineRule="auto"/>
        <w:ind w:left="1134" w:right="0" w:hanging="567"/>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La fourniture de produits : l’achat de produits référencés sera imposé au Candidat Retenu (le cas échéant) selon des conditions communiquées par Paris 2024 ;</w:t>
      </w:r>
      <w:r w:rsidDel="00000000" w:rsidR="00000000" w:rsidRPr="00000000">
        <w:rPr>
          <w:rtl w:val="0"/>
        </w:rPr>
      </w:r>
    </w:p>
    <w:p w:rsidR="00000000" w:rsidDel="00000000" w:rsidP="00000000" w:rsidRDefault="00000000" w:rsidRPr="00000000" w14:paraId="0000015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120" w:before="0" w:line="240" w:lineRule="auto"/>
        <w:ind w:left="1134" w:right="0" w:hanging="567"/>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La fourniture de services clé en main : le Candidat Retenu devra coopérer avec le Partenaire de Marketing et Paris 2024 pour l’intégration des services du Partenaire de Marketing – dans la plupart des cas, le niveau de services aura été préalablement discuté et défini entre le Partenaire de Marketing et Paris 2024.</w:t>
      </w:r>
    </w:p>
    <w:p w:rsidR="00000000" w:rsidDel="00000000" w:rsidP="00000000" w:rsidRDefault="00000000" w:rsidRPr="00000000" w14:paraId="0000015C">
      <w:pPr>
        <w:rPr>
          <w:i w:val="1"/>
          <w:u w:val="single"/>
        </w:rPr>
      </w:pPr>
      <w:r w:rsidDel="00000000" w:rsidR="00000000" w:rsidRPr="00000000">
        <w:rPr>
          <w:i w:val="1"/>
          <w:u w:val="single"/>
          <w:rtl w:val="0"/>
        </w:rPr>
        <w:t xml:space="preserve">Existant vs. Temporaire :</w:t>
      </w:r>
    </w:p>
    <w:p w:rsidR="00000000" w:rsidDel="00000000" w:rsidP="00000000" w:rsidRDefault="00000000" w:rsidRPr="00000000" w14:paraId="0000015D">
      <w:pPr>
        <w:rPr/>
      </w:pPr>
      <w:r w:rsidDel="00000000" w:rsidR="00000000" w:rsidRPr="00000000">
        <w:rPr>
          <w:rtl w:val="0"/>
        </w:rPr>
        <w:t xml:space="preserve">L’application des droits de fourniture exclusive peut être discutée quand cela concerne la livraison de prestations dans des enceintes déjà existantes et pour des produits installés de manière pérenne sur le site (les produits de consommation courante sont exclus de la présente dérogation).</w:t>
      </w:r>
    </w:p>
    <w:p w:rsidR="00000000" w:rsidDel="00000000" w:rsidP="00000000" w:rsidRDefault="00000000" w:rsidRPr="00000000" w14:paraId="0000015E">
      <w:pPr>
        <w:rPr>
          <w:color w:val="404040"/>
        </w:rPr>
      </w:pPr>
      <w:r w:rsidDel="00000000" w:rsidR="00000000" w:rsidRPr="00000000">
        <w:rPr>
          <w:rtl w:val="0"/>
        </w:rPr>
        <w:t xml:space="preserve">En effet, même si le CIO impose à Paris de se fournir exclusivement auprès des Partenaires de Marketing dans leur catégorie respective et d’imposer cela à ses prestataires, la « Nouvelle Norme » publiée par le CIO en 2018 permet de nuancer cette obligation : si le Candidat Retenu ou le site en question sont déjà équipés de produits correspondant à une catégorie de produits d’un partenaire, et que ces produits existants remplissent les caractéristiques techniques nécessaires à la livraison des Jeux, il ne sera pas forcément nécessaire de les remplacer par des produits d’un Partenaire de Marketing, sous réserve de discussions préalables et d’un accord avec Paris 2024. En toute hypothèse, le prestataire devra s’assurer qu’aucune marque autre qu’une marque d’un partenaire ne soit visible sur les produits utilisés dans le cadre de la mission. Le prestataire devra donc s’assurer que toutes les marques, sauf celles des partenaires, soient cachées.</w:t>
      </w:r>
      <w:r w:rsidDel="00000000" w:rsidR="00000000" w:rsidRPr="00000000">
        <w:rPr>
          <w:rtl w:val="0"/>
        </w:rPr>
      </w:r>
    </w:p>
    <w:p w:rsidR="00000000" w:rsidDel="00000000" w:rsidP="00000000" w:rsidRDefault="00000000" w:rsidRPr="00000000" w14:paraId="0000015F">
      <w:pPr>
        <w:rPr>
          <w:color w:val="000000"/>
        </w:rPr>
      </w:pPr>
      <w:r w:rsidDel="00000000" w:rsidR="00000000" w:rsidRPr="00000000">
        <w:rPr>
          <w:color w:val="000000"/>
          <w:rtl w:val="0"/>
        </w:rPr>
        <w:t xml:space="preserve">En revanche, dans l’hypothèse où le Candidat Retenu, ou l’un de ses prestataires, devrait remplacer / louer / compléter son stock de produits existants afin de livrer les Jeux, il conviendra néanmoins de considérer les produits des Partenaires de Marketing correspondant aux besoins exprimés.</w:t>
      </w:r>
    </w:p>
    <w:p w:rsidR="00000000" w:rsidDel="00000000" w:rsidP="00000000" w:rsidRDefault="00000000" w:rsidRPr="00000000" w14:paraId="00000160">
      <w:pPr>
        <w:rPr>
          <w:color w:val="000000"/>
        </w:rPr>
      </w:pPr>
      <w:r w:rsidDel="00000000" w:rsidR="00000000" w:rsidRPr="00000000">
        <w:rPr>
          <w:color w:val="000000"/>
          <w:rtl w:val="0"/>
        </w:rPr>
        <w:t xml:space="preserve">Bien évidemment, les produits proposés par les Partenaires de Marketing devront répondre aux critères d’achats exprimés par le Candidat Retenu ou ses prestataires, et préalablement validés par Paris 2024 (délais de livraison impératifs, spécifications techniques imposées, compétitivité en termes de prix et de qualité, etc.).</w:t>
      </w:r>
    </w:p>
    <w:p w:rsidR="00000000" w:rsidDel="00000000" w:rsidP="00000000" w:rsidRDefault="00000000" w:rsidRPr="00000000" w14:paraId="00000161">
      <w:pPr>
        <w:spacing w:before="240" w:lineRule="auto"/>
        <w:rPr>
          <w:i w:val="1"/>
          <w:u w:val="single"/>
        </w:rPr>
      </w:pPr>
      <w:r w:rsidDel="00000000" w:rsidR="00000000" w:rsidRPr="00000000">
        <w:rPr>
          <w:i w:val="1"/>
          <w:u w:val="single"/>
          <w:rtl w:val="0"/>
        </w:rPr>
        <w:t xml:space="preserve">Sous-traitance :</w:t>
      </w:r>
    </w:p>
    <w:p w:rsidR="00000000" w:rsidDel="00000000" w:rsidP="00000000" w:rsidRDefault="00000000" w:rsidRPr="00000000" w14:paraId="00000162">
      <w:pPr>
        <w:rPr/>
      </w:pPr>
      <w:r w:rsidDel="00000000" w:rsidR="00000000" w:rsidRPr="00000000">
        <w:rPr>
          <w:rtl w:val="0"/>
        </w:rPr>
        <w:t xml:space="preserve">Dans le cadre de ses accords avec le CIO, Paris 2024 s’impose de se fournir exclusivement auprès des Partenaires de Marketing pour lesquels ce droit de fourniture exclusive s’applique. Paris 2024 est par ailleurs dans l’obligation d’imposer cette règle à ses prestataires et fournisseurs, qui ont eux-mêmes l’obligation de faire respecter les règles transmises par Paris 2024 à leur écosystème (ex : droit de fourniture ou principe de clean-venue).</w:t>
      </w:r>
    </w:p>
    <w:p w:rsidR="00000000" w:rsidDel="00000000" w:rsidP="00000000" w:rsidRDefault="00000000" w:rsidRPr="00000000" w14:paraId="00000163">
      <w:pPr>
        <w:spacing w:before="240" w:lineRule="auto"/>
        <w:rPr>
          <w:i w:val="1"/>
          <w:u w:val="single"/>
        </w:rPr>
      </w:pPr>
      <w:r w:rsidDel="00000000" w:rsidR="00000000" w:rsidRPr="00000000">
        <w:rPr>
          <w:i w:val="1"/>
          <w:u w:val="single"/>
          <w:rtl w:val="0"/>
        </w:rPr>
        <w:t xml:space="preserve">Niveau de collaboration attendu :</w:t>
      </w:r>
    </w:p>
    <w:p w:rsidR="00000000" w:rsidDel="00000000" w:rsidP="00000000" w:rsidRDefault="00000000" w:rsidRPr="00000000" w14:paraId="00000164">
      <w:pPr>
        <w:rPr/>
      </w:pPr>
      <w:r w:rsidDel="00000000" w:rsidR="00000000" w:rsidRPr="00000000">
        <w:rPr>
          <w:rtl w:val="0"/>
        </w:rPr>
        <w:t xml:space="preserve">Les produits et services livrés par les Partenaires de Marketing sur Site sont cruciaux pour la livraison des Jeux et, au même titre que le staff de Paris 2024, du Candidat Retenu et tout autre prestataire impliqué dans la livraison des Jeux, les collaborateurs des Partenaires de Marketing travailleront sur des amplitudes horaires importantes. Les Partenaires de Marketing impliqués concernés par des missions se déroulant sur site devront y avoir accès, dans des conditions optimales. Il est d’ailleurs attendu que le Candidat Retenu apporte une attention particulière au traitement des Partenaires de Marketing, qui représentent bien plus que des simples fournisseurs pour Paris 2024.</w:t>
      </w:r>
    </w:p>
    <w:p w:rsidR="00000000" w:rsidDel="00000000" w:rsidP="00000000" w:rsidRDefault="00000000" w:rsidRPr="00000000" w14:paraId="00000165">
      <w:pPr>
        <w:spacing w:before="240" w:lineRule="auto"/>
        <w:rPr>
          <w:i w:val="1"/>
          <w:u w:val="single"/>
        </w:rPr>
      </w:pPr>
      <w:r w:rsidDel="00000000" w:rsidR="00000000" w:rsidRPr="00000000">
        <w:rPr>
          <w:i w:val="1"/>
          <w:u w:val="single"/>
          <w:rtl w:val="0"/>
        </w:rPr>
        <w:t xml:space="preserve">Les catégories de produits et services des Partenaires de Marketing :</w:t>
      </w:r>
    </w:p>
    <w:p w:rsidR="00000000" w:rsidDel="00000000" w:rsidP="00000000" w:rsidRDefault="00000000" w:rsidRPr="00000000" w14:paraId="00000166">
      <w:pPr>
        <w:rPr>
          <w:color w:val="0e0e0e"/>
        </w:rPr>
      </w:pPr>
      <w:r w:rsidDel="00000000" w:rsidR="00000000" w:rsidRPr="00000000">
        <w:rPr>
          <w:color w:val="0e0e0e"/>
          <w:rtl w:val="0"/>
        </w:rPr>
        <w:t xml:space="preserve">La liste des Partenaires de Marketing ainsi que des catégories de produits ou services ciblés pour la recherche de Partenaire de Marketing est détaillé en « Annexe G – </w:t>
      </w:r>
      <w:r w:rsidDel="00000000" w:rsidR="00000000" w:rsidRPr="00000000">
        <w:rPr>
          <w:rFonts w:ascii="Source Sans Pro Light" w:cs="Source Sans Pro Light" w:eastAsia="Source Sans Pro Light" w:hAnsi="Source Sans Pro Light"/>
          <w:rtl w:val="0"/>
        </w:rPr>
        <w:t xml:space="preserve">Catégories de produits et services des partenaires marketing de Paris 2024 »</w:t>
      </w:r>
      <w:r w:rsidDel="00000000" w:rsidR="00000000" w:rsidRPr="00000000">
        <w:rPr>
          <w:rtl w:val="0"/>
        </w:rPr>
        <w:t xml:space="preserve">. Cette liste des Partenaires de Marketing a été établie en date de la publication de ce document et peut être mise à jour par Paris 2024 pendant toute la durée d’exécution du marché. </w:t>
      </w: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z337ya" w:id="18"/>
      <w:bookmarkEnd w:id="18"/>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Les Propriétaires/Exploitants de Site </w:t>
      </w:r>
    </w:p>
    <w:p w:rsidR="00000000" w:rsidDel="00000000" w:rsidP="00000000" w:rsidRDefault="00000000" w:rsidRPr="00000000" w14:paraId="00000168">
      <w:pPr>
        <w:rPr/>
      </w:pPr>
      <w:r w:rsidDel="00000000" w:rsidR="00000000" w:rsidRPr="00000000">
        <w:rPr>
          <w:rtl w:val="0"/>
        </w:rPr>
        <w:t xml:space="preserve">Dès la phase de Candidature aux JOP (2015-2017), </w:t>
      </w:r>
      <w:r w:rsidDel="00000000" w:rsidR="00000000" w:rsidRPr="00000000">
        <w:rPr>
          <w:color w:val="0e0e0e"/>
          <w:rtl w:val="0"/>
        </w:rPr>
        <w:t xml:space="preserve">Paris </w:t>
      </w:r>
      <w:r w:rsidDel="00000000" w:rsidR="00000000" w:rsidRPr="00000000">
        <w:rPr>
          <w:rtl w:val="0"/>
        </w:rPr>
        <w:t xml:space="preserve">2024 a recueilli auprès des Propriétaires/Exploitants de Site des lettres de garantie garantissant la mise à disposition des Sites, vierges de toutes publicités, pour les besoins des Jeux sur une période donnée et avec la fourniture d’un certain nombre de services et d’infrastructures indissociables de la mise à disposition du Site. </w:t>
      </w:r>
    </w:p>
    <w:p w:rsidR="00000000" w:rsidDel="00000000" w:rsidP="00000000" w:rsidRDefault="00000000" w:rsidRPr="00000000" w14:paraId="00000169">
      <w:pPr>
        <w:rPr/>
      </w:pPr>
      <w:r w:rsidDel="00000000" w:rsidR="00000000" w:rsidRPr="00000000">
        <w:rPr>
          <w:rtl w:val="0"/>
        </w:rPr>
        <w:t xml:space="preserve">Ces lettres de garantie ont vocation à être précisées dans les contrats de mise à disposition de site, dénommés Venue Use Agreement (ci-après « VUA »), à conclure entre </w:t>
      </w:r>
      <w:r w:rsidDel="00000000" w:rsidR="00000000" w:rsidRPr="00000000">
        <w:rPr>
          <w:color w:val="0e0e0e"/>
          <w:rtl w:val="0"/>
        </w:rPr>
        <w:t xml:space="preserve">Paris </w:t>
      </w:r>
      <w:r w:rsidDel="00000000" w:rsidR="00000000" w:rsidRPr="00000000">
        <w:rPr>
          <w:rtl w:val="0"/>
        </w:rPr>
        <w:t xml:space="preserve">2024 et les Propriétaires et/ou Exploitants De Site. L’objet de ces contrats est ainsi de définir les termes et conditions de l’occupation et d’exploitation des Sites par </w:t>
      </w:r>
      <w:r w:rsidDel="00000000" w:rsidR="00000000" w:rsidRPr="00000000">
        <w:rPr>
          <w:color w:val="0e0e0e"/>
          <w:rtl w:val="0"/>
        </w:rPr>
        <w:t xml:space="preserve">Paris </w:t>
      </w:r>
      <w:r w:rsidDel="00000000" w:rsidR="00000000" w:rsidRPr="00000000">
        <w:rPr>
          <w:rtl w:val="0"/>
        </w:rPr>
        <w:t xml:space="preserve">2024 et les Parties Prenantes De La Livraison Des Jeux.</w:t>
      </w:r>
    </w:p>
    <w:p w:rsidR="00000000" w:rsidDel="00000000" w:rsidP="00000000" w:rsidRDefault="00000000" w:rsidRPr="00000000" w14:paraId="0000016A">
      <w:pPr>
        <w:rPr/>
      </w:pPr>
      <w:r w:rsidDel="00000000" w:rsidR="00000000" w:rsidRPr="00000000">
        <w:rPr>
          <w:rtl w:val="0"/>
        </w:rPr>
        <w:t xml:space="preserve">Pour ce qui concerne spécifiquement le domaine public de la Ville de Paris et d’HAROPA, les conditions relatives à la mise à disposition de ces sites sont prévues dans les conventions cadres signées avec ces propriétaires, et dans les conventions d’application qui en sont la déclinaison (convention d’occupation du domaine public – CODP).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3j2qqm3" w:id="19"/>
      <w:bookmarkEnd w:id="19"/>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Les acteurs publics</w:t>
      </w:r>
    </w:p>
    <w:p w:rsidR="00000000" w:rsidDel="00000000" w:rsidP="00000000" w:rsidRDefault="00000000" w:rsidRPr="00000000" w14:paraId="0000016C">
      <w:pPr>
        <w:rPr/>
      </w:pPr>
      <w:r w:rsidDel="00000000" w:rsidR="00000000" w:rsidRPr="00000000">
        <w:rPr>
          <w:rtl w:val="0"/>
        </w:rPr>
        <w:t xml:space="preserve">La livraison des Jeux implique une variété d’acteurs publics, au premier chef desquels figurent la Ville de Paris et le CNOSF, signataires du CVH (2017). Au-delà de ces deux autorités signataires du CVH, les acteurs publics jouent un rôle opérationnel clé, étant notamment responsables de l’accueil de la compétition sur leur territoire et parfois les Propriétaires des Sites. Les villes, en particulier, continuent d’assurer les missions de services publics dont elles ont habituellement la charge dès lors qu’elles accueillent des Sites de Compétition et d’entrainement (sécurité, transport, gestion des déchets, relations avec les riverains, etc.). Les acteurs publics concernés directement par les opérations de livraison sont : </w:t>
      </w:r>
    </w:p>
    <w:p w:rsidR="00000000" w:rsidDel="00000000" w:rsidP="00000000" w:rsidRDefault="00000000" w:rsidRPr="00000000" w14:paraId="0000016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La Ville de Paris ;</w:t>
      </w:r>
    </w:p>
    <w:p w:rsidR="00000000" w:rsidDel="00000000" w:rsidP="00000000" w:rsidRDefault="00000000" w:rsidRPr="00000000" w14:paraId="0000016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L’Etat ; </w:t>
      </w:r>
    </w:p>
    <w:p w:rsidR="00000000" w:rsidDel="00000000" w:rsidP="00000000" w:rsidRDefault="00000000" w:rsidRPr="00000000" w14:paraId="0000016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La SOLIDEO ; </w:t>
      </w:r>
    </w:p>
    <w:p w:rsidR="00000000" w:rsidDel="00000000" w:rsidP="00000000" w:rsidRDefault="00000000" w:rsidRPr="00000000" w14:paraId="0000017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La Région Ile de France ;</w:t>
      </w:r>
    </w:p>
    <w:p w:rsidR="00000000" w:rsidDel="00000000" w:rsidP="00000000" w:rsidRDefault="00000000" w:rsidRPr="00000000" w14:paraId="0000017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autres collectivités hôtes accueillant des Sites de Compétitions : villes, structures intercommunales comme des métropoles ou des communautés d’agglomération (établissements publics territoriaux de Seine-Saint-Denis, ville de Marseille, Métropole du Grand Paris, Métropole Aix-Marseille-Provence, communauté d’agglomération de Saint-Quentin-en-Yvelines, etc.) ;</w:t>
      </w:r>
      <w:r w:rsidDel="00000000" w:rsidR="00000000" w:rsidRPr="00000000">
        <w:rPr>
          <w:rtl w:val="0"/>
        </w:rPr>
      </w:r>
    </w:p>
    <w:p w:rsidR="00000000" w:rsidDel="00000000" w:rsidP="00000000" w:rsidRDefault="00000000" w:rsidRPr="00000000" w14:paraId="00000172">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La Polynésie Française.</w:t>
      </w: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1y810tw" w:id="20"/>
      <w:bookmarkEnd w:id="20"/>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Opérateur Hospitalité (OHE)</w:t>
      </w:r>
    </w:p>
    <w:p w:rsidR="00000000" w:rsidDel="00000000" w:rsidP="00000000" w:rsidRDefault="00000000" w:rsidRPr="00000000" w14:paraId="00000174">
      <w:pPr>
        <w:rPr/>
      </w:pPr>
      <w:r w:rsidDel="00000000" w:rsidR="00000000" w:rsidRPr="00000000">
        <w:rPr>
          <w:rtl w:val="0"/>
        </w:rPr>
        <w:t xml:space="preserve">Le CIO et trois Comités d’organisation des Jeux Olympiques et Paralympiques (JOP) ont sélectionné la société On Location pour intervenir en tant que Opérateur Hospitalités Olympique unique (OHE) dans le cadre de plusieurs éditions des Jeux Olympiques et Paralympiques. On Location interviendra en tant que producteur et agent commercial exclusif des hospitalités Olympiques à travers le monde pour Paris 2024. On Location devra ainsi développer une large gamme de produits et de services, parmi lesquels une offre s’appuyant sur les espaces réceptifs situés au sein des sites de compétition (In-Venue Hospitality (IVH)). </w:t>
      </w:r>
    </w:p>
    <w:p w:rsidR="00000000" w:rsidDel="00000000" w:rsidP="00000000" w:rsidRDefault="00000000" w:rsidRPr="00000000" w14:paraId="00000175">
      <w:pPr>
        <w:pStyle w:val="Heading3"/>
        <w:numPr>
          <w:ilvl w:val="2"/>
          <w:numId w:val="14"/>
        </w:numPr>
        <w:ind w:left="2160" w:hanging="360"/>
        <w:rPr>
          <w:rFonts w:ascii="Paris2024" w:cs="Paris2024" w:eastAsia="Paris2024" w:hAnsi="Paris2024"/>
          <w:color w:val="006aff"/>
          <w:sz w:val="24"/>
          <w:szCs w:val="24"/>
        </w:rPr>
      </w:pPr>
      <w:bookmarkStart w:colFirst="0" w:colLast="0" w:name="_heading=h.4i7ojhp" w:id="21"/>
      <w:bookmarkEnd w:id="21"/>
      <w:r w:rsidDel="00000000" w:rsidR="00000000" w:rsidRPr="00000000">
        <w:rPr>
          <w:rFonts w:ascii="Paris2024" w:cs="Paris2024" w:eastAsia="Paris2024" w:hAnsi="Paris2024"/>
          <w:color w:val="006aff"/>
          <w:sz w:val="24"/>
          <w:szCs w:val="24"/>
          <w:rtl w:val="0"/>
        </w:rPr>
        <w:t xml:space="preserve">Les Clients des Jeux</w:t>
      </w:r>
    </w:p>
    <w:p w:rsidR="00000000" w:rsidDel="00000000" w:rsidP="00000000" w:rsidRDefault="00000000" w:rsidRPr="00000000" w14:paraId="00000176">
      <w:pPr>
        <w:rPr/>
      </w:pPr>
      <w:r w:rsidDel="00000000" w:rsidR="00000000" w:rsidRPr="00000000">
        <w:rPr>
          <w:rtl w:val="0"/>
        </w:rPr>
        <w:t xml:space="preserve">De nombreuses personnes vivent les Jeux Olympiques et Paralympiques, qu’ils y assistent et/ou qu’ils contribuent à leur organisation. L’ensemble de ces personnes représentent les Clients des Jeux, et il est de la responsabilité de Paris 2024 et du Titulaire de Marché de s’assurer qu’ils vivent la meilleure expérience possible. L’objectif de Paris 2024 est de livrer à chacun de ces Clients une expérience qui corresponde à leurs attentes et qui reflète la vision de Paris 2024. Chaque élément de leur expérience doit être teinté de la vision de Paris 2024. La qualité de chaque moment passé sur un Evénement donné des Jeux est un facteur essentiel pour la réussite de l’expérience des Clients des Jeux. Par conséquent, il est primordial de comprendre quels sont les marqueurs clés de la vision dans l’expérience de chaque Client pour les intégrer à la conception des opérations, dès le départ. </w:t>
      </w:r>
    </w:p>
    <w:p w:rsidR="00000000" w:rsidDel="00000000" w:rsidP="00000000" w:rsidRDefault="00000000" w:rsidRPr="00000000" w14:paraId="00000177">
      <w:pPr>
        <w:rPr/>
      </w:pPr>
      <w:r w:rsidDel="00000000" w:rsidR="00000000" w:rsidRPr="00000000">
        <w:rPr>
          <w:rtl w:val="0"/>
        </w:rPr>
        <w:t xml:space="preserve">La présente section a pour objet de présenter l’ensemble des Clients des Jeux. Certains sont également parties prenantes de la Livraison des Jeux.</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2xcytpi" w:id="22"/>
      <w:bookmarkEnd w:id="22"/>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Athlètes et Comités Nationaux Olympiques/Paralympiques (CNO/CNP)</w:t>
      </w:r>
    </w:p>
    <w:p w:rsidR="00000000" w:rsidDel="00000000" w:rsidP="00000000" w:rsidRDefault="00000000" w:rsidRPr="00000000" w14:paraId="00000179">
      <w:pPr>
        <w:rPr/>
      </w:pPr>
      <w:r w:rsidDel="00000000" w:rsidR="00000000" w:rsidRPr="00000000">
        <w:rPr>
          <w:rtl w:val="0"/>
        </w:rPr>
        <w:t xml:space="preserve">Les Athlètes englobent l’ensemble des sportifs qualifiés et admis à concourir aux Jeux de Paris 2024, ainsi que leurs délégations nationales (coachs, préparateurs physiques, etc.). </w:t>
      </w:r>
    </w:p>
    <w:p w:rsidR="00000000" w:rsidDel="00000000" w:rsidP="00000000" w:rsidRDefault="00000000" w:rsidRPr="00000000" w14:paraId="0000017A">
      <w:pPr>
        <w:rPr/>
      </w:pPr>
      <w:r w:rsidDel="00000000" w:rsidR="00000000" w:rsidRPr="00000000">
        <w:rPr>
          <w:rtl w:val="0"/>
        </w:rPr>
        <w:t xml:space="preserve">Les CNO/CNP sont les organisations non gouvernementales chargées de développer, promouvoir et protéger le Mouvement Olympique et Paralympique dans leurs pays respectifs. Ils ont l'autorité exclusive pour la représentation de leurs pays aux Jeux. Leur rôle principal est de sélectionner et de préparer des athlètes dûment qualifiés ainsi que des encadrants, désignés par leurs Fédérations Nationales pour participer aux Jeux. Les CNO/CNP constituent, organisent et dirigent leurs délégations respectives aux Jeux. </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1ci93xb" w:id="23"/>
      <w:bookmarkEnd w:id="23"/>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Familles et dignitaires Olympiques/Paralympiques</w:t>
      </w:r>
    </w:p>
    <w:p w:rsidR="00000000" w:rsidDel="00000000" w:rsidP="00000000" w:rsidRDefault="00000000" w:rsidRPr="00000000" w14:paraId="0000017C">
      <w:pPr>
        <w:rPr/>
      </w:pPr>
      <w:r w:rsidDel="00000000" w:rsidR="00000000" w:rsidRPr="00000000">
        <w:rPr>
          <w:rtl w:val="0"/>
        </w:rPr>
        <w:t xml:space="preserve">La Famille Olympique et Paralympique inclut les Présidents du CIO et de l’IPC, les membres du CIO et le Bureau Exécutif de l’IPC, les Présidents et Secrétaires Généraux des FI, des Comités Olympiques et Paralympiques Nationaux (CNO, CNP), les Présidents et Directeurs Généraux des Partenaires de Marketing (partenaires TOP et partenaires domestiques), les Présidents et Directeurs Généraux de Paris 2024 et des futurs COJO, les directeurs exécutifs des RHB, l’administration du CIO et de l’IPC, du Tribunal arbitral du Sport, de l’Agence mondiale Anti-dopage et d’autres.</w:t>
      </w:r>
    </w:p>
    <w:p w:rsidR="00000000" w:rsidDel="00000000" w:rsidP="00000000" w:rsidRDefault="00000000" w:rsidRPr="00000000" w14:paraId="0000017D">
      <w:pPr>
        <w:rPr/>
      </w:pPr>
      <w:r w:rsidDel="00000000" w:rsidR="00000000" w:rsidRPr="00000000">
        <w:rPr>
          <w:rtl w:val="0"/>
        </w:rPr>
        <w:t xml:space="preserve">Les Dignitaires sont l’ensemble des Souverains, Chefs d’Etat et des Chefs de Gouvernement, les Ministres des Sports et Ambassadeurs, ainsi que les autorités nationales et locales. </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3whwml4" w:id="24"/>
      <w:bookmarkEnd w:id="24"/>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Fédérations internationales (FI)</w:t>
      </w:r>
    </w:p>
    <w:p w:rsidR="00000000" w:rsidDel="00000000" w:rsidP="00000000" w:rsidRDefault="00000000" w:rsidRPr="00000000" w14:paraId="0000017F">
      <w:pPr>
        <w:rPr/>
      </w:pPr>
      <w:r w:rsidDel="00000000" w:rsidR="00000000" w:rsidRPr="00000000">
        <w:rPr>
          <w:rtl w:val="0"/>
        </w:rPr>
        <w:t xml:space="preserve">Les Fédérations Internationales ont été présentées à la section 1.7.2. En particulier, les Délégués Techniques et l’ensemble des officiels des FI font partie des Clients des Jeux.</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2bn6wsx" w:id="25"/>
      <w:bookmarkEnd w:id="25"/>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OBS &amp; Les Radiodiffuseurs Détenteurs De Droits (RHB)</w:t>
      </w:r>
    </w:p>
    <w:p w:rsidR="00000000" w:rsidDel="00000000" w:rsidP="00000000" w:rsidRDefault="00000000" w:rsidRPr="00000000" w14:paraId="00000181">
      <w:pPr>
        <w:rPr/>
      </w:pPr>
      <w:r w:rsidDel="00000000" w:rsidR="00000000" w:rsidRPr="00000000">
        <w:rPr>
          <w:rtl w:val="0"/>
        </w:rPr>
        <w:t xml:space="preserve">OBS a été présenté à la section 1.7.2. </w:t>
      </w:r>
    </w:p>
    <w:p w:rsidR="00000000" w:rsidDel="00000000" w:rsidP="00000000" w:rsidRDefault="00000000" w:rsidRPr="00000000" w14:paraId="00000182">
      <w:pPr>
        <w:rPr/>
      </w:pPr>
      <w:r w:rsidDel="00000000" w:rsidR="00000000" w:rsidRPr="00000000">
        <w:rPr>
          <w:rtl w:val="0"/>
        </w:rPr>
        <w:t xml:space="preserve">Les Radiodiffuseurs Détenteurs De Droits (RHB) sont des entités, entreprises, syndicats, groupements ou agences (y compris filiales de média ou sous-licenciés autorisés), avec lesquels le CIO a conclu ou conclura un accord leur garantissant les droits de diffuser et d’exposer la couverture des Jeux Olympiques sur un territoire donné pendant une période donnée.</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qsh70q" w:id="26"/>
      <w:bookmarkEnd w:id="26"/>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Presse</w:t>
      </w:r>
    </w:p>
    <w:p w:rsidR="00000000" w:rsidDel="00000000" w:rsidP="00000000" w:rsidRDefault="00000000" w:rsidRPr="00000000" w14:paraId="00000184">
      <w:pPr>
        <w:rPr/>
      </w:pPr>
      <w:r w:rsidDel="00000000" w:rsidR="00000000" w:rsidRPr="00000000">
        <w:rPr>
          <w:rtl w:val="0"/>
        </w:rPr>
        <w:t xml:space="preserve">La Presse comprend l’ensemble des journalistes de presse écrite, des photographes, et des diffuseurs non-détenteurs de droit.</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3as4poj" w:id="27"/>
      <w:bookmarkEnd w:id="27"/>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Partenaires de Marketing </w:t>
      </w:r>
    </w:p>
    <w:p w:rsidR="00000000" w:rsidDel="00000000" w:rsidP="00000000" w:rsidRDefault="00000000" w:rsidRPr="00000000" w14:paraId="00000186">
      <w:pPr>
        <w:rPr>
          <w:sz w:val="18"/>
          <w:szCs w:val="18"/>
        </w:rPr>
      </w:pPr>
      <w:r w:rsidDel="00000000" w:rsidR="00000000" w:rsidRPr="00000000">
        <w:rPr>
          <w:rtl w:val="0"/>
        </w:rPr>
        <w:t xml:space="preserve">Les Partenaires de Marketing ont été présentés à la section 1.7.2.</w:t>
      </w: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1pxezwc" w:id="28"/>
      <w:bookmarkEnd w:id="28"/>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Spectateurs/Visiteurs</w:t>
      </w:r>
    </w:p>
    <w:p w:rsidR="00000000" w:rsidDel="00000000" w:rsidP="00000000" w:rsidRDefault="00000000" w:rsidRPr="00000000" w14:paraId="00000188">
      <w:pPr>
        <w:rPr/>
      </w:pPr>
      <w:r w:rsidDel="00000000" w:rsidR="00000000" w:rsidRPr="00000000">
        <w:rPr>
          <w:rtl w:val="0"/>
        </w:rPr>
        <w:t xml:space="preserve">Les spectateurs ou visiteurs Olympiques et Paralympiques peuvent être munis de billets (admis à l’intérieur du périmètre de sécurité de l’événement) ou sans billet (ex : le long du parcours de cyclisme sur route) et sont d’origine locale, nationale ou internationale.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bookmarkStart w:colFirst="0" w:colLast="0" w:name="_heading=h.49x2ik5" w:id="29"/>
      <w:bookmarkEnd w:id="29"/>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La Main-d'œuvre </w:t>
      </w:r>
    </w:p>
    <w:p w:rsidR="00000000" w:rsidDel="00000000" w:rsidP="00000000" w:rsidRDefault="00000000" w:rsidRPr="00000000" w14:paraId="0000018A">
      <w:pPr>
        <w:rPr/>
      </w:pPr>
      <w:r w:rsidDel="00000000" w:rsidR="00000000" w:rsidRPr="00000000">
        <w:rPr>
          <w:rtl w:val="0"/>
        </w:rPr>
        <w:t xml:space="preserve">La Main-d’œuvre (Workforce) comprend le Personnel rémunéré de Paris 2024, du futur Titulaire de Marché, de leurs prestataires, des Parties Prenantes de la Livraison, ainsi que l’ensemble des Volontaires. </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spacing w:after="360" w:before="720" w:lineRule="auto"/>
        <w:rPr/>
      </w:pPr>
      <w:bookmarkStart w:colFirst="0" w:colLast="0" w:name="_heading=h.2p2csry" w:id="30"/>
      <w:bookmarkEnd w:id="30"/>
      <w:r w:rsidDel="00000000" w:rsidR="00000000" w:rsidRPr="00000000">
        <w:rPr>
          <w:rtl w:val="0"/>
        </w:rPr>
      </w:r>
    </w:p>
    <w:p w:rsidR="00000000" w:rsidDel="00000000" w:rsidP="00000000" w:rsidRDefault="00000000" w:rsidRPr="00000000" w14:paraId="0000018D">
      <w:pPr>
        <w:pStyle w:val="Heading1"/>
        <w:rPr/>
      </w:pPr>
      <w:bookmarkStart w:colFirst="0" w:colLast="0" w:name="_heading=h.147n2zr" w:id="31"/>
      <w:bookmarkEnd w:id="31"/>
      <w:r w:rsidDel="00000000" w:rsidR="00000000" w:rsidRPr="00000000">
        <w:rPr>
          <w:rtl w:val="0"/>
        </w:rPr>
        <w:t xml:space="preserve">2. La cérémonie d'ouverture des Jeux Olympiques</w:t>
      </w:r>
    </w:p>
    <w:p w:rsidR="00000000" w:rsidDel="00000000" w:rsidP="00000000" w:rsidRDefault="00000000" w:rsidRPr="00000000" w14:paraId="0000018E">
      <w:pPr>
        <w:rPr/>
      </w:pPr>
      <w:r w:rsidDel="00000000" w:rsidR="00000000" w:rsidRPr="00000000">
        <w:rPr/>
        <w:drawing>
          <wp:inline distB="0" distT="0" distL="0" distR="0">
            <wp:extent cx="6184900" cy="3479165"/>
            <wp:effectExtent b="0" l="0" r="0" t="0"/>
            <wp:docPr descr="Une image contenant ciel, extérieur, nature, crépuscule&#10;&#10;Description générée automatiquement" id="1858500663" name="image4.jpg"/>
            <a:graphic>
              <a:graphicData uri="http://schemas.openxmlformats.org/drawingml/2006/picture">
                <pic:pic>
                  <pic:nvPicPr>
                    <pic:cNvPr descr="Une image contenant ciel, extérieur, nature, crépuscule&#10;&#10;Description générée automatiquement" id="0" name="image4.jpg"/>
                    <pic:cNvPicPr preferRelativeResize="0"/>
                  </pic:nvPicPr>
                  <pic:blipFill>
                    <a:blip r:embed="rId17"/>
                    <a:srcRect b="0" l="0" r="0" t="0"/>
                    <a:stretch>
                      <a:fillRect/>
                    </a:stretch>
                  </pic:blipFill>
                  <pic:spPr>
                    <a:xfrm>
                      <a:off x="0" y="0"/>
                      <a:ext cx="6184900" cy="3479165"/>
                    </a:xfrm>
                    <a:prstGeom prst="rect"/>
                    <a:ln/>
                  </pic:spPr>
                </pic:pic>
              </a:graphicData>
            </a:graphic>
          </wp:inline>
        </w:drawing>
      </w: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88" w:lineRule="auto"/>
        <w:ind w:left="0" w:right="0" w:firstLine="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Cette cérémonie d’ouverture marquera l’histoire des Jeux. Le 26 juillet 2024, pour la première fois, la Cérémonie d’ouverture sortira du stade pour se dérouler en plein cœur de Paris. Sur la Seine, dans un décor grandiose, les délégations formeront un cortège majestueux de 160 bateaux. Elles sillonneront Paris d’est en ouest sur 6km, au plus près des monuments iconiques de la capitale : Notre-Dame, le Louvre, les Invalides, le musée d’Orsay et tant d’autres… </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88" w:lineRule="auto"/>
        <w:ind w:left="0" w:right="0" w:firstLine="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Paris, son fleuve, ses ponts, son patrimoine historique, seront le théâtre d’un spectacle unique. Par la rencontre entre le sport et l’art, entre des monuments chargés d’Histoire et un geste créatif avant-gardiste et audacieux, la cérémonie mettra en valeur nos multiples héritages culturels et les réinterprétera autour d’un message fédérateur.  </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88" w:lineRule="auto"/>
        <w:ind w:left="0" w:right="0" w:firstLine="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 décor de cette cérémonie offre des possibilités créatives infinies : bateaux artistiques, orchestres flottants, performances sportives sur les ponts, sur les toits, dans les airs… Thomas Jolly, le directeur artistique des Cérémonies, saura par sa maîtrise du spectacle vivant proposer une scénographie et une mise en scène novatrices et qui s’adressera au plus grand nombre. </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88" w:lineRule="auto"/>
        <w:ind w:left="0" w:right="0" w:firstLine="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spectateurs vivront une expérience inoubliable. Avec une vue imprenable sur la Seine, une sonorisation et 80 écrans géants installés tout au long du parcours, ils pourront suivre l’intégralité du spectacle, et profiter de l’ambiance qui embrasera chaque recoin de la ville. </w:t>
      </w:r>
    </w:p>
    <w:p w:rsidR="00000000" w:rsidDel="00000000" w:rsidP="00000000" w:rsidRDefault="00000000" w:rsidRPr="00000000" w14:paraId="00000193">
      <w:pPr>
        <w:spacing w:before="280" w:lineRule="auto"/>
        <w:rPr>
          <w:color w:val="000000"/>
        </w:rPr>
      </w:pPr>
      <w:r w:rsidDel="00000000" w:rsidR="00000000" w:rsidRPr="00000000">
        <w:rPr>
          <w:color w:val="000000"/>
          <w:rtl w:val="0"/>
        </w:rPr>
        <w:t xml:space="preserve">Les spectateurs souhaitant être au plus proche de la Seine pourront sélectionner une offre en tribune. De l’Ile Saint-Louis à l’Avenue de New-York, cinq catégories de prix seront proposées dès 90€.</w:t>
      </w:r>
    </w:p>
    <w:p w:rsidR="00000000" w:rsidDel="00000000" w:rsidP="00000000" w:rsidRDefault="00000000" w:rsidRPr="00000000" w14:paraId="00000194">
      <w:pPr>
        <w:spacing w:before="280" w:lineRule="auto"/>
        <w:rPr>
          <w:color w:val="000000"/>
        </w:rPr>
      </w:pPr>
      <w:r w:rsidDel="00000000" w:rsidR="00000000" w:rsidRPr="00000000">
        <w:rPr>
          <w:color w:val="000000"/>
          <w:rtl w:val="0"/>
        </w:rPr>
        <w:t xml:space="preserve">Pour ceux désirant vivre cet évènement inédit dans des conditions privilégiées, des packages hospitalité permettant d’assister à la fois au spectacle dans les meilleures conditions mais aussi de bénéficier de services de haute volée seront également déployés autour des plus beaux lieux du parcours. Ainsi, une gamme de produits tels que des ponts transformés en espace réceptif surplombant le fleuve, des bateaux amarrés à quai ou navigants au sein de la parade pour une expérience immersive, ou enfin des lieux de réception iconiques de la capitale couplés à des places en tribune seront autant de produits proposés pour répondre à tous les besoins des publics entreprises ou individuels.</w:t>
      </w:r>
    </w:p>
    <w:p w:rsidR="00000000" w:rsidDel="00000000" w:rsidP="00000000" w:rsidRDefault="00000000" w:rsidRPr="00000000" w14:paraId="00000195">
      <w:pPr>
        <w:spacing w:before="280" w:lineRule="auto"/>
        <w:rPr>
          <w:color w:val="000000"/>
        </w:rPr>
      </w:pPr>
      <w:r w:rsidDel="00000000" w:rsidR="00000000" w:rsidRPr="00000000">
        <w:rPr>
          <w:color w:val="000000"/>
          <w:rtl w:val="0"/>
        </w:rPr>
        <w:t xml:space="preserve">La cérémonie se terminera en beauté au Trocadéro, en face de la Tour Eiffel, pour l’allumage de la flamme et le lancement officiel des Jeux Olympiques de Paris 2024 ! </w:t>
      </w:r>
    </w:p>
    <w:p w:rsidR="00000000" w:rsidDel="00000000" w:rsidP="00000000" w:rsidRDefault="00000000" w:rsidRPr="00000000" w14:paraId="00000196">
      <w:pPr>
        <w:pStyle w:val="Heading2"/>
        <w:rPr/>
      </w:pPr>
      <w:bookmarkStart w:colFirst="0" w:colLast="0" w:name="_heading=h.3o7alnk" w:id="32"/>
      <w:bookmarkEnd w:id="32"/>
      <w:r w:rsidDel="00000000" w:rsidR="00000000" w:rsidRPr="00000000">
        <w:rPr>
          <w:rtl w:val="0"/>
        </w:rPr>
        <w:t xml:space="preserve">2.1 Plan d’implantation de la cérémonie</w:t>
      </w:r>
    </w:p>
    <w:p w:rsidR="00000000" w:rsidDel="00000000" w:rsidP="00000000" w:rsidRDefault="00000000" w:rsidRPr="00000000" w14:paraId="00000197">
      <w:pPr>
        <w:rPr/>
      </w:pPr>
      <w:r w:rsidDel="00000000" w:rsidR="00000000" w:rsidRPr="00000000">
        <w:rPr>
          <w:rtl w:val="0"/>
        </w:rPr>
        <w:t xml:space="preserve">Les Candidats auront accès aux plans. Sur les plans publiés, un code couleur et une codification permettent de définir l’utilisation de chaque espace et qui en est responsable. </w:t>
      </w:r>
    </w:p>
    <w:p w:rsidR="00000000" w:rsidDel="00000000" w:rsidP="00000000" w:rsidRDefault="00000000" w:rsidRPr="00000000" w14:paraId="00000198">
      <w:pPr>
        <w:rPr/>
      </w:pPr>
      <w:r w:rsidDel="00000000" w:rsidR="00000000" w:rsidRPr="00000000">
        <w:rPr>
          <w:rtl w:val="0"/>
        </w:rPr>
        <w:t xml:space="preserve">De plus, les plans fournis sont soumis à modification et les versions mises à jour seront transmises au Candidat retenu lors de leur publication.</w:t>
      </w:r>
    </w:p>
    <w:p w:rsidR="00000000" w:rsidDel="00000000" w:rsidP="00000000" w:rsidRDefault="00000000" w:rsidRPr="00000000" w14:paraId="00000199">
      <w:pPr>
        <w:pStyle w:val="Heading2"/>
        <w:rPr/>
      </w:pPr>
      <w:bookmarkStart w:colFirst="0" w:colLast="0" w:name="_heading=h.23ckvvd" w:id="33"/>
      <w:bookmarkEnd w:id="33"/>
      <w:r w:rsidDel="00000000" w:rsidR="00000000" w:rsidRPr="00000000">
        <w:rPr>
          <w:rtl w:val="0"/>
        </w:rPr>
        <w:t xml:space="preserve">2.2 Description des espaces de restauration </w:t>
      </w:r>
    </w:p>
    <w:p w:rsidR="00000000" w:rsidDel="00000000" w:rsidP="00000000" w:rsidRDefault="00000000" w:rsidRPr="00000000" w14:paraId="0000019A">
      <w:pPr>
        <w:rPr/>
      </w:pPr>
      <w:r w:rsidDel="00000000" w:rsidR="00000000" w:rsidRPr="00000000">
        <w:rPr>
          <w:rtl w:val="0"/>
        </w:rPr>
        <w:t xml:space="preserve">Le programme de restauration de la Cérémonie doit offrir aux spectateurs des quais de Seine une variété d'aliments et de boissons froides répartis sur les nombreux secteurs traversant la Seine.</w:t>
      </w:r>
    </w:p>
    <w:p w:rsidR="00000000" w:rsidDel="00000000" w:rsidP="00000000" w:rsidRDefault="00000000" w:rsidRPr="00000000" w14:paraId="0000019B">
      <w:pPr>
        <w:rPr/>
      </w:pPr>
      <w:r w:rsidDel="00000000" w:rsidR="00000000" w:rsidRPr="00000000">
        <w:rPr>
          <w:rtl w:val="0"/>
        </w:rPr>
        <w:t xml:space="preserve">A date, Paris 2024 préconise un modèle de distribution qui s’appuie sur :</w:t>
      </w:r>
    </w:p>
    <w:p w:rsidR="00000000" w:rsidDel="00000000" w:rsidP="00000000" w:rsidRDefault="00000000" w:rsidRPr="00000000" w14:paraId="0000019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88" w:lineRule="auto"/>
        <w:ind w:left="763"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Plusieurs concessions, réparties sur les nombreux secteurs traversant la Seine, du Pont d'Austerlitz au Trocadéro.</w:t>
      </w:r>
    </w:p>
    <w:p w:rsidR="00000000" w:rsidDel="00000000" w:rsidP="00000000" w:rsidRDefault="00000000" w:rsidRPr="00000000" w14:paraId="0000019D">
      <w:pPr>
        <w:rPr/>
      </w:pPr>
      <w:r w:rsidDel="00000000" w:rsidR="00000000" w:rsidRPr="00000000">
        <w:rPr>
          <w:rtl w:val="0"/>
        </w:rPr>
        <w:t xml:space="preserve">Le programme des concessions de restauration pour la Cérémonie d'Ouverture des Jeux Olympiques aura lieu le 26 juillet 2024 de 17h à 23h30 (*ces horaires sont amenés à pouvoir évoluer). Le nombre total de spectateurs attendus est d'environ 55 000. La fréquentation par secteur est détaillée dans les plans.</w:t>
      </w:r>
    </w:p>
    <w:p w:rsidR="00000000" w:rsidDel="00000000" w:rsidP="00000000" w:rsidRDefault="00000000" w:rsidRPr="00000000" w14:paraId="0000019E">
      <w:pPr>
        <w:pStyle w:val="Heading1"/>
        <w:rPr/>
      </w:pPr>
      <w:bookmarkStart w:colFirst="0" w:colLast="0" w:name="_heading=h.ihv636" w:id="34"/>
      <w:bookmarkEnd w:id="34"/>
      <w:r w:rsidDel="00000000" w:rsidR="00000000" w:rsidRPr="00000000">
        <w:rPr>
          <w:rtl w:val="0"/>
        </w:rPr>
        <w:t xml:space="preserve">3. Le périmètre de l’Appel d’offres</w:t>
      </w:r>
    </w:p>
    <w:p w:rsidR="00000000" w:rsidDel="00000000" w:rsidP="00000000" w:rsidRDefault="00000000" w:rsidRPr="00000000" w14:paraId="0000019F">
      <w:pPr>
        <w:pStyle w:val="Heading2"/>
        <w:rPr/>
      </w:pPr>
      <w:bookmarkStart w:colFirst="0" w:colLast="0" w:name="_heading=h.32hioqz" w:id="35"/>
      <w:bookmarkEnd w:id="35"/>
      <w:r w:rsidDel="00000000" w:rsidR="00000000" w:rsidRPr="00000000">
        <w:rPr>
          <w:rtl w:val="0"/>
        </w:rPr>
        <w:t xml:space="preserve">3.1 La mission du Candidat retenu</w:t>
      </w:r>
    </w:p>
    <w:p w:rsidR="00000000" w:rsidDel="00000000" w:rsidP="00000000" w:rsidRDefault="00000000" w:rsidRPr="00000000" w14:paraId="000001A0">
      <w:pPr>
        <w:rPr/>
      </w:pPr>
      <w:r w:rsidDel="00000000" w:rsidR="00000000" w:rsidRPr="00000000">
        <w:rPr>
          <w:rtl w:val="0"/>
        </w:rPr>
        <w:t xml:space="preserve">La mission à accomplir par le Candidat retenu consiste à la planification, implémentation, exploitation, le management et démantèlement de tout le programme de restauration pour les spectateurs sur quai bas de la Seine, dans des secteurs spécifiques des rives gauche et/ou droite.</w:t>
      </w:r>
    </w:p>
    <w:p w:rsidR="00000000" w:rsidDel="00000000" w:rsidP="00000000" w:rsidRDefault="00000000" w:rsidRPr="00000000" w14:paraId="000001A1">
      <w:pPr>
        <w:rPr/>
      </w:pPr>
      <w:bookmarkStart w:colFirst="0" w:colLast="0" w:name="_heading=h.1hmsyys" w:id="36"/>
      <w:bookmarkEnd w:id="36"/>
      <w:r w:rsidDel="00000000" w:rsidR="00000000" w:rsidRPr="00000000">
        <w:rPr>
          <w:rtl w:val="0"/>
        </w:rPr>
        <w:t xml:space="preserve">La Food Vision de Paris 2024 et l’ambition d’excellence environnementale de Paris 2024 doivent être les fils conducteurs structurant le projet de la phase conceptionnelle jusqu’au démantèlement.    </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pStyle w:val="Heading2"/>
        <w:rPr/>
      </w:pPr>
      <w:r w:rsidDel="00000000" w:rsidR="00000000" w:rsidRPr="00000000">
        <w:rPr>
          <w:rtl w:val="0"/>
        </w:rPr>
        <w:t xml:space="preserve">3.2 La DESCRIPTION DES LOTS</w:t>
      </w:r>
    </w:p>
    <w:p w:rsidR="00000000" w:rsidDel="00000000" w:rsidP="00000000" w:rsidRDefault="00000000" w:rsidRPr="00000000" w14:paraId="000001A4">
      <w:pPr>
        <w:rPr>
          <w:rFonts w:ascii="Paris2024 Light" w:cs="Paris2024 Light" w:eastAsia="Paris2024 Light" w:hAnsi="Paris2024 Light"/>
        </w:rPr>
      </w:pPr>
      <w:r w:rsidDel="00000000" w:rsidR="00000000" w:rsidRPr="00000000">
        <w:rPr>
          <w:rFonts w:ascii="Paris2024 Light" w:cs="Paris2024 Light" w:eastAsia="Paris2024 Light" w:hAnsi="Paris2024 Light"/>
          <w:rtl w:val="0"/>
        </w:rPr>
        <w:t xml:space="preserve">Il est précisé que le Titulaire peut répondre à un ou plusieurs lots. En revanche, sur un site donné, il n’est pas possible pour le Titulaire – sauf mention contraire – de ne répondre qu’à une partie des prestations. Par ailleurs, Paris 2024 se réserve le droit de retirer à tout moment un lot.</w:t>
      </w:r>
    </w:p>
    <w:p w:rsidR="00000000" w:rsidDel="00000000" w:rsidP="00000000" w:rsidRDefault="00000000" w:rsidRPr="00000000" w14:paraId="000001A5">
      <w:pPr>
        <w:spacing w:after="0" w:lineRule="auto"/>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Il est précisé que la réalisation de chaque tranche optionnelle obligatoire dépend d’une décision d’affermissement prise par Paris 2024.</w:t>
      </w:r>
    </w:p>
    <w:p w:rsidR="00000000" w:rsidDel="00000000" w:rsidP="00000000" w:rsidRDefault="00000000" w:rsidRPr="00000000" w14:paraId="000001A6">
      <w:pPr>
        <w:spacing w:after="0" w:lineRule="auto"/>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A7">
      <w:pPr>
        <w:spacing w:after="0" w:lineRule="auto"/>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Paris 2024 est libre d’affermir ou non la/les tranche(s) optionnelle(s).</w:t>
      </w:r>
    </w:p>
    <w:p w:rsidR="00000000" w:rsidDel="00000000" w:rsidP="00000000" w:rsidRDefault="00000000" w:rsidRPr="00000000" w14:paraId="000001A8">
      <w:pPr>
        <w:spacing w:after="0" w:lineRule="auto"/>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A9">
      <w:pPr>
        <w:spacing w:after="0" w:lineRule="auto"/>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L’activation d’une tranche optionnelle obligatoire fera l’objet d’une notification écrite préalable de Paris 2024.</w:t>
      </w:r>
    </w:p>
    <w:p w:rsidR="00000000" w:rsidDel="00000000" w:rsidP="00000000" w:rsidRDefault="00000000" w:rsidRPr="00000000" w14:paraId="000001AA">
      <w:pPr>
        <w:tabs>
          <w:tab w:val="left" w:leader="none" w:pos="2692"/>
        </w:tabs>
        <w:rPr/>
      </w:pPr>
      <w:r w:rsidDel="00000000" w:rsidR="00000000" w:rsidRPr="00000000">
        <w:rPr>
          <w:rtl w:val="0"/>
        </w:rPr>
      </w:r>
    </w:p>
    <w:p w:rsidR="00000000" w:rsidDel="00000000" w:rsidP="00000000" w:rsidRDefault="00000000" w:rsidRPr="00000000" w14:paraId="000001AB">
      <w:pPr>
        <w:tabs>
          <w:tab w:val="left" w:leader="none" w:pos="2692"/>
        </w:tabs>
        <w:rPr/>
      </w:pPr>
      <w:r w:rsidDel="00000000" w:rsidR="00000000" w:rsidRPr="00000000">
        <w:rPr>
          <w:rtl w:val="0"/>
        </w:rPr>
        <w:t xml:space="preserve">La concession est composée de plusieurs lots :</w:t>
      </w:r>
    </w:p>
    <w:p w:rsidR="00000000" w:rsidDel="00000000" w:rsidP="00000000" w:rsidRDefault="00000000" w:rsidRPr="00000000" w14:paraId="000001AC">
      <w:pPr>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Lot 1 : Henri IV</w:t>
      </w:r>
      <w:r w:rsidDel="00000000" w:rsidR="00000000" w:rsidRPr="00000000">
        <w:rPr>
          <w:rtl w:val="0"/>
        </w:rPr>
      </w:r>
    </w:p>
    <w:p w:rsidR="00000000" w:rsidDel="00000000" w:rsidP="00000000" w:rsidRDefault="00000000" w:rsidRPr="00000000" w14:paraId="000001AD">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Tranche Ferme</w:t>
      </w:r>
      <w:r w:rsidDel="00000000" w:rsidR="00000000" w:rsidRPr="00000000">
        <w:rPr>
          <w:rFonts w:ascii="Calibri" w:cs="Calibri" w:eastAsia="Calibri" w:hAnsi="Calibri"/>
          <w:sz w:val="22"/>
          <w:szCs w:val="22"/>
          <w:rtl w:val="0"/>
        </w:rPr>
        <w:t xml:space="preserve"> : Zone A secteur 1 (rive gauche) </w:t>
      </w:r>
    </w:p>
    <w:p w:rsidR="00000000" w:rsidDel="00000000" w:rsidP="00000000" w:rsidRDefault="00000000" w:rsidRPr="00000000" w14:paraId="000001AE">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Tranche Optionnelle obligatoire 1 :</w:t>
      </w:r>
      <w:r w:rsidDel="00000000" w:rsidR="00000000" w:rsidRPr="00000000">
        <w:rPr>
          <w:rFonts w:ascii="Calibri" w:cs="Calibri" w:eastAsia="Calibri" w:hAnsi="Calibri"/>
          <w:sz w:val="22"/>
          <w:szCs w:val="22"/>
          <w:rtl w:val="0"/>
        </w:rPr>
        <w:t xml:space="preserve">  Zone Dépose athlètes - secteurs à définir </w:t>
      </w:r>
      <w:r w:rsidDel="00000000" w:rsidR="00000000" w:rsidRPr="00000000">
        <w:rPr>
          <w:rFonts w:ascii="Quattrocento Sans" w:cs="Quattrocento Sans" w:eastAsia="Quattrocento Sans" w:hAnsi="Quattrocento Sans"/>
          <w:sz w:val="18"/>
          <w:szCs w:val="18"/>
          <w:rtl w:val="0"/>
        </w:rPr>
        <w:t xml:space="preserve">+ </w:t>
      </w:r>
      <w:r w:rsidDel="00000000" w:rsidR="00000000" w:rsidRPr="00000000">
        <w:rPr>
          <w:rFonts w:ascii="Calibri" w:cs="Calibri" w:eastAsia="Calibri" w:hAnsi="Calibri"/>
          <w:sz w:val="22"/>
          <w:szCs w:val="22"/>
          <w:rtl w:val="0"/>
        </w:rPr>
        <w:t xml:space="preserve">Zone Secteurs Reprise Athlètes - secteurs à définir   </w:t>
      </w:r>
    </w:p>
    <w:p w:rsidR="00000000" w:rsidDel="00000000" w:rsidP="00000000" w:rsidRDefault="00000000" w:rsidRPr="00000000" w14:paraId="000001A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1B0">
      <w:pPr>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Lot 2 : La Tournelle</w:t>
      </w:r>
      <w:r w:rsidDel="00000000" w:rsidR="00000000" w:rsidRPr="00000000">
        <w:rPr>
          <w:rtl w:val="0"/>
        </w:rPr>
      </w:r>
    </w:p>
    <w:p w:rsidR="00000000" w:rsidDel="00000000" w:rsidP="00000000" w:rsidRDefault="00000000" w:rsidRPr="00000000" w14:paraId="000001B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Zone B secteur 2 (rive gauche) + Zone B secteur 3 (rive gauche) + Zone TOUR - Pont de la Tournelle </w:t>
      </w:r>
    </w:p>
    <w:p w:rsidR="00000000" w:rsidDel="00000000" w:rsidP="00000000" w:rsidRDefault="00000000" w:rsidRPr="00000000" w14:paraId="000001B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1B3">
      <w:pPr>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Lot 3 : Hôtel de Ville</w:t>
      </w:r>
      <w:r w:rsidDel="00000000" w:rsidR="00000000" w:rsidRPr="00000000">
        <w:rPr>
          <w:rtl w:val="0"/>
        </w:rPr>
      </w:r>
    </w:p>
    <w:p w:rsidR="00000000" w:rsidDel="00000000" w:rsidP="00000000" w:rsidRDefault="00000000" w:rsidRPr="00000000" w14:paraId="000001B4">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Tranche Ferme</w:t>
      </w:r>
      <w:r w:rsidDel="00000000" w:rsidR="00000000" w:rsidRPr="00000000">
        <w:rPr>
          <w:rFonts w:ascii="Calibri" w:cs="Calibri" w:eastAsia="Calibri" w:hAnsi="Calibri"/>
          <w:sz w:val="22"/>
          <w:szCs w:val="22"/>
          <w:rtl w:val="0"/>
        </w:rPr>
        <w:t xml:space="preserve"> : Zone CHA - Pont au Change </w:t>
      </w:r>
      <w:r w:rsidDel="00000000" w:rsidR="00000000" w:rsidRPr="00000000">
        <w:rPr>
          <w:rFonts w:ascii="Calibri" w:cs="Calibri" w:eastAsia="Calibri" w:hAnsi="Calibri"/>
          <w:b w:val="1"/>
          <w:sz w:val="22"/>
          <w:szCs w:val="22"/>
          <w:rtl w:val="0"/>
        </w:rPr>
        <w:t xml:space="preserve">  </w:t>
      </w:r>
      <w:r w:rsidDel="00000000" w:rsidR="00000000" w:rsidRPr="00000000">
        <w:rPr>
          <w:rtl w:val="0"/>
        </w:rPr>
      </w:r>
    </w:p>
    <w:p w:rsidR="00000000" w:rsidDel="00000000" w:rsidP="00000000" w:rsidRDefault="00000000" w:rsidRPr="00000000" w14:paraId="000001B5">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Tranche Optionnelle obligatoire 1</w:t>
      </w:r>
      <w:r w:rsidDel="00000000" w:rsidR="00000000" w:rsidRPr="00000000">
        <w:rPr>
          <w:rFonts w:ascii="Calibri" w:cs="Calibri" w:eastAsia="Calibri" w:hAnsi="Calibri"/>
          <w:sz w:val="22"/>
          <w:szCs w:val="22"/>
          <w:rtl w:val="0"/>
        </w:rPr>
        <w:t xml:space="preserve"> : Zone L Secteur 4 (rive droite)</w:t>
      </w:r>
    </w:p>
    <w:p w:rsidR="00000000" w:rsidDel="00000000" w:rsidP="00000000" w:rsidRDefault="00000000" w:rsidRPr="00000000" w14:paraId="000001B6">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Tranche Optionnelle obligatoire 2 : </w:t>
      </w:r>
      <w:r w:rsidDel="00000000" w:rsidR="00000000" w:rsidRPr="00000000">
        <w:rPr>
          <w:rFonts w:ascii="Calibri" w:cs="Calibri" w:eastAsia="Calibri" w:hAnsi="Calibri"/>
          <w:sz w:val="22"/>
          <w:szCs w:val="22"/>
          <w:rtl w:val="0"/>
        </w:rPr>
        <w:t xml:space="preserve">Zone L Secteur 5 (rive droite)</w:t>
      </w:r>
      <w:r w:rsidDel="00000000" w:rsidR="00000000" w:rsidRPr="00000000">
        <w:rPr>
          <w:rtl w:val="0"/>
        </w:rPr>
      </w:r>
    </w:p>
    <w:p w:rsidR="00000000" w:rsidDel="00000000" w:rsidP="00000000" w:rsidRDefault="00000000" w:rsidRPr="00000000" w14:paraId="000001B7">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Tranche Optionnelle obligatoire 3</w:t>
      </w:r>
      <w:r w:rsidDel="00000000" w:rsidR="00000000" w:rsidRPr="00000000">
        <w:rPr>
          <w:rFonts w:ascii="Calibri" w:cs="Calibri" w:eastAsia="Calibri" w:hAnsi="Calibri"/>
          <w:sz w:val="22"/>
          <w:szCs w:val="22"/>
          <w:rtl w:val="0"/>
        </w:rPr>
        <w:t xml:space="preserve"> : Zone M Secteur 6 (rive droite)</w:t>
      </w:r>
      <w:r w:rsidDel="00000000" w:rsidR="00000000" w:rsidRPr="00000000">
        <w:rPr>
          <w:rFonts w:ascii="Quattrocento Sans" w:cs="Quattrocento Sans" w:eastAsia="Quattrocento Sans" w:hAnsi="Quattrocento Sans"/>
          <w:sz w:val="18"/>
          <w:szCs w:val="18"/>
          <w:rtl w:val="0"/>
        </w:rPr>
        <w:t xml:space="preserve"> </w:t>
      </w:r>
      <w:r w:rsidDel="00000000" w:rsidR="00000000" w:rsidRPr="00000000">
        <w:rPr>
          <w:rtl w:val="0"/>
        </w:rPr>
      </w:r>
    </w:p>
    <w:p w:rsidR="00000000" w:rsidDel="00000000" w:rsidP="00000000" w:rsidRDefault="00000000" w:rsidRPr="00000000" w14:paraId="000001B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Tranche Optionnelle obligatoire 4</w:t>
      </w:r>
      <w:r w:rsidDel="00000000" w:rsidR="00000000" w:rsidRPr="00000000">
        <w:rPr>
          <w:rFonts w:ascii="Calibri" w:cs="Calibri" w:eastAsia="Calibri" w:hAnsi="Calibri"/>
          <w:sz w:val="22"/>
          <w:szCs w:val="22"/>
          <w:rtl w:val="0"/>
        </w:rPr>
        <w:t xml:space="preserve"> : Zone M Secteur 7(rive droite)</w:t>
      </w:r>
    </w:p>
    <w:p w:rsidR="00000000" w:rsidDel="00000000" w:rsidP="00000000" w:rsidRDefault="00000000" w:rsidRPr="00000000" w14:paraId="000001B9">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Tranche Optionnelle obligatoire 5 :</w:t>
      </w:r>
      <w:r w:rsidDel="00000000" w:rsidR="00000000" w:rsidRPr="00000000">
        <w:rPr>
          <w:rFonts w:ascii="Calibri" w:cs="Calibri" w:eastAsia="Calibri" w:hAnsi="Calibri"/>
          <w:sz w:val="22"/>
          <w:szCs w:val="22"/>
          <w:rtl w:val="0"/>
        </w:rPr>
        <w:t xml:space="preserve"> Zone M Secteur 8 (rive droite)  </w:t>
      </w:r>
    </w:p>
    <w:p w:rsidR="00000000" w:rsidDel="00000000" w:rsidP="00000000" w:rsidRDefault="00000000" w:rsidRPr="00000000" w14:paraId="000001B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B">
      <w:pPr>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Lot 4 : Tuileries</w:t>
      </w:r>
      <w:r w:rsidDel="00000000" w:rsidR="00000000" w:rsidRPr="00000000">
        <w:rPr>
          <w:rtl w:val="0"/>
        </w:rPr>
      </w:r>
    </w:p>
    <w:p w:rsidR="00000000" w:rsidDel="00000000" w:rsidP="00000000" w:rsidRDefault="00000000" w:rsidRPr="00000000" w14:paraId="000001BC">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Tranche Ferme</w:t>
      </w:r>
      <w:r w:rsidDel="00000000" w:rsidR="00000000" w:rsidRPr="00000000">
        <w:rPr>
          <w:rFonts w:ascii="Calibri" w:cs="Calibri" w:eastAsia="Calibri" w:hAnsi="Calibri"/>
          <w:sz w:val="22"/>
          <w:szCs w:val="22"/>
          <w:rtl w:val="0"/>
        </w:rPr>
        <w:t xml:space="preserve"> : Zone CAR - Pont du Carrousel + Zone ROY - Pont Royal et Zone E Secteur 9 (rive gauche)  </w:t>
      </w:r>
    </w:p>
    <w:p w:rsidR="00000000" w:rsidDel="00000000" w:rsidP="00000000" w:rsidRDefault="00000000" w:rsidRPr="00000000" w14:paraId="000001BD">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Tranche Optionnelle obligatoire 1</w:t>
      </w:r>
      <w:r w:rsidDel="00000000" w:rsidR="00000000" w:rsidRPr="00000000">
        <w:rPr>
          <w:rFonts w:ascii="Calibri" w:cs="Calibri" w:eastAsia="Calibri" w:hAnsi="Calibri"/>
          <w:sz w:val="22"/>
          <w:szCs w:val="22"/>
          <w:rtl w:val="0"/>
        </w:rPr>
        <w:t xml:space="preserve"> : Zone E Secteur 10 (rive gauche)</w:t>
      </w:r>
    </w:p>
    <w:p w:rsidR="00000000" w:rsidDel="00000000" w:rsidP="00000000" w:rsidRDefault="00000000" w:rsidRPr="00000000" w14:paraId="000001BE">
      <w:pPr>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Tranche Optionnelle obligatoire 2 : </w:t>
      </w:r>
      <w:r w:rsidDel="00000000" w:rsidR="00000000" w:rsidRPr="00000000">
        <w:rPr>
          <w:rFonts w:ascii="Calibri" w:cs="Calibri" w:eastAsia="Calibri" w:hAnsi="Calibri"/>
          <w:sz w:val="22"/>
          <w:szCs w:val="22"/>
          <w:rtl w:val="0"/>
        </w:rPr>
        <w:t xml:space="preserve">Zone F Secteur 11 (rive gauche)</w:t>
      </w:r>
      <w:r w:rsidDel="00000000" w:rsidR="00000000" w:rsidRPr="00000000">
        <w:rPr>
          <w:rtl w:val="0"/>
        </w:rPr>
      </w:r>
    </w:p>
    <w:p w:rsidR="00000000" w:rsidDel="00000000" w:rsidP="00000000" w:rsidRDefault="00000000" w:rsidRPr="00000000" w14:paraId="000001BF">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Tranche Optionnelle obligatoire 3 :</w:t>
      </w:r>
      <w:r w:rsidDel="00000000" w:rsidR="00000000" w:rsidRPr="00000000">
        <w:rPr>
          <w:rFonts w:ascii="Calibri" w:cs="Calibri" w:eastAsia="Calibri" w:hAnsi="Calibri"/>
          <w:sz w:val="22"/>
          <w:szCs w:val="22"/>
          <w:rtl w:val="0"/>
        </w:rPr>
        <w:t xml:space="preserve"> Zone F Secteur 12 (rive gauche) </w:t>
      </w:r>
    </w:p>
    <w:p w:rsidR="00000000" w:rsidDel="00000000" w:rsidP="00000000" w:rsidRDefault="00000000" w:rsidRPr="00000000" w14:paraId="000001C0">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Tranche Optionnelle obligatoire 4 : </w:t>
      </w:r>
      <w:r w:rsidDel="00000000" w:rsidR="00000000" w:rsidRPr="00000000">
        <w:rPr>
          <w:rFonts w:ascii="Calibri" w:cs="Calibri" w:eastAsia="Calibri" w:hAnsi="Calibri"/>
          <w:sz w:val="22"/>
          <w:szCs w:val="22"/>
          <w:rtl w:val="0"/>
        </w:rPr>
        <w:t xml:space="preserve">Zone H Secteur 15 (rive gauche)  </w:t>
      </w:r>
    </w:p>
    <w:p w:rsidR="00000000" w:rsidDel="00000000" w:rsidP="00000000" w:rsidRDefault="00000000" w:rsidRPr="00000000" w14:paraId="000001C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2">
      <w:pPr>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Lot 5 : Debilly</w:t>
      </w:r>
      <w:r w:rsidDel="00000000" w:rsidR="00000000" w:rsidRPr="00000000">
        <w:rPr>
          <w:rtl w:val="0"/>
        </w:rPr>
      </w:r>
    </w:p>
    <w:p w:rsidR="00000000" w:rsidDel="00000000" w:rsidP="00000000" w:rsidRDefault="00000000" w:rsidRPr="00000000" w14:paraId="000001C3">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Tranche Ferme</w:t>
      </w:r>
      <w:r w:rsidDel="00000000" w:rsidR="00000000" w:rsidRPr="00000000">
        <w:rPr>
          <w:rFonts w:ascii="Calibri" w:cs="Calibri" w:eastAsia="Calibri" w:hAnsi="Calibri"/>
          <w:sz w:val="22"/>
          <w:szCs w:val="22"/>
          <w:rtl w:val="0"/>
        </w:rPr>
        <w:t xml:space="preserve"> : Zone R Secteur 17 (rive droite)   </w:t>
      </w:r>
    </w:p>
    <w:p w:rsidR="00000000" w:rsidDel="00000000" w:rsidP="00000000" w:rsidRDefault="00000000" w:rsidRPr="00000000" w14:paraId="000001C4">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Tranche Optionnelle obligatoire 1</w:t>
      </w:r>
      <w:r w:rsidDel="00000000" w:rsidR="00000000" w:rsidRPr="00000000">
        <w:rPr>
          <w:rFonts w:ascii="Calibri" w:cs="Calibri" w:eastAsia="Calibri" w:hAnsi="Calibri"/>
          <w:sz w:val="22"/>
          <w:szCs w:val="22"/>
          <w:rtl w:val="0"/>
        </w:rPr>
        <w:t xml:space="preserve"> : Zone Q Secteur 15 (rive droite)</w:t>
      </w:r>
    </w:p>
    <w:p w:rsidR="00000000" w:rsidDel="00000000" w:rsidP="00000000" w:rsidRDefault="00000000" w:rsidRPr="00000000" w14:paraId="000001C5">
      <w:pPr>
        <w:tabs>
          <w:tab w:val="left" w:leader="none" w:pos="2692"/>
        </w:tabs>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Tranche Optionnelle obligatoire 2 :</w:t>
      </w:r>
      <w:r w:rsidDel="00000000" w:rsidR="00000000" w:rsidRPr="00000000">
        <w:rPr>
          <w:rFonts w:ascii="Calibri" w:cs="Calibri" w:eastAsia="Calibri" w:hAnsi="Calibri"/>
          <w:sz w:val="22"/>
          <w:szCs w:val="22"/>
          <w:rtl w:val="0"/>
        </w:rPr>
        <w:t xml:space="preserve"> Zone R secteur 16 (rive droite)</w:t>
      </w:r>
    </w:p>
    <w:p w:rsidR="00000000" w:rsidDel="00000000" w:rsidP="00000000" w:rsidRDefault="00000000" w:rsidRPr="00000000" w14:paraId="000001C6">
      <w:pPr>
        <w:pStyle w:val="Heading2"/>
        <w:tabs>
          <w:tab w:val="left" w:leader="none" w:pos="2692"/>
        </w:tabs>
        <w:rPr>
          <w:rFonts w:ascii="Calibri" w:cs="Calibri" w:eastAsia="Calibri" w:hAnsi="Calibri"/>
          <w:sz w:val="22"/>
          <w:szCs w:val="22"/>
        </w:rPr>
      </w:pPr>
      <w:r w:rsidDel="00000000" w:rsidR="00000000" w:rsidRPr="00000000">
        <w:rPr>
          <w:rtl w:val="0"/>
        </w:rPr>
        <w:t xml:space="preserve">3.3 Les exigences générales de la mission</w:t>
      </w: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La réponse du Candidat doit donner satisfaction sur l’ensemble des missions listés ci-après. Ces exigences s’appliquent de manière générale à l’intégralité des programmes de catering :</w:t>
      </w:r>
    </w:p>
    <w:p w:rsidR="00000000" w:rsidDel="00000000" w:rsidP="00000000" w:rsidRDefault="00000000" w:rsidRPr="00000000" w14:paraId="000001C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Réalisation et management d’un planning détaillé du projet incluant les tâches principales, les livrables et échéances clés</w:t>
      </w:r>
    </w:p>
    <w:p w:rsidR="00000000" w:rsidDel="00000000" w:rsidP="00000000" w:rsidRDefault="00000000" w:rsidRPr="00000000" w14:paraId="000001C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Programmation, conception, design, mise en place, exploitation et démantèlement des espaces de restauration dans le respect des normes françaises et selon les exigences du Cahier des Charges </w:t>
      </w:r>
    </w:p>
    <w:p w:rsidR="00000000" w:rsidDel="00000000" w:rsidP="00000000" w:rsidRDefault="00000000" w:rsidRPr="00000000" w14:paraId="000001C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Conception des espaces de restauration, des espaces techniques ainsi que des espaces annexes selon les plans.</w:t>
      </w:r>
    </w:p>
    <w:p w:rsidR="00000000" w:rsidDel="00000000" w:rsidP="00000000" w:rsidRDefault="00000000" w:rsidRPr="00000000" w14:paraId="000001C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Travaux et aménagements temporaires : Conception, chiffrage et réalisation des travaux d’aménagement temporaires du projet retenu, y compris l’overlay et l’installation de toute infrastructure temporaire additionnelle nécessaire pour mettre en œuvre tout le programme de restauration complémentaire pour les spectateurs sur les quais de Seine bas pour la journée de la Cérémonie d’Ouverture (plateformes, tentes, conteneurs etc.) </w:t>
      </w:r>
    </w:p>
    <w:p w:rsidR="00000000" w:rsidDel="00000000" w:rsidP="00000000" w:rsidRDefault="00000000" w:rsidRPr="00000000" w14:paraId="000001C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Optimisation des infrastructures temporaires et des délais d’installation/désinstallation. L’installation se fera dans un planning de montage différent en fonction des secteurs.  Dans un premier temps, le Candidat pourra partir sur un montage 48h avant le début de la compétition et la désinstallation devra être complètement terminée pour le 27 juillet à 08h00 (ces horaires peuvent amenés à être modifiés).</w:t>
      </w:r>
    </w:p>
    <w:p w:rsidR="00000000" w:rsidDel="00000000" w:rsidP="00000000" w:rsidRDefault="00000000" w:rsidRPr="00000000" w14:paraId="000001C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La restauration proposée ne devra concerner que la vente à emporter. </w:t>
      </w:r>
    </w:p>
    <w:p w:rsidR="00000000" w:rsidDel="00000000" w:rsidP="00000000" w:rsidRDefault="00000000" w:rsidRPr="00000000" w14:paraId="000001C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Equipements lourds et légers de cuisine : Fourniture de tous les équipements de cuisine nécessaires à la préparation, la transformation, le transport, le maintien en température et au service des denrées alimentaires  </w:t>
      </w:r>
    </w:p>
    <w:p w:rsidR="00000000" w:rsidDel="00000000" w:rsidP="00000000" w:rsidRDefault="00000000" w:rsidRPr="00000000" w14:paraId="000001C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Intégration des spécificités en termes d’accessibilité des espaces</w:t>
      </w:r>
    </w:p>
    <w:p w:rsidR="00000000" w:rsidDel="00000000" w:rsidP="00000000" w:rsidRDefault="00000000" w:rsidRPr="00000000" w14:paraId="000001D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Management de tous les sous-contractants et des ravitaillements / livraisons en lien avec les programmes de catering de la Cérémonie</w:t>
      </w:r>
    </w:p>
    <w:p w:rsidR="00000000" w:rsidDel="00000000" w:rsidP="00000000" w:rsidRDefault="00000000" w:rsidRPr="00000000" w14:paraId="000001D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Recrutement, formation, encadrement et certification de tous les personnels nécessaires à l’exécution des missions (équipe de management de projet, chefs de cuisine, équipes de production / laboratoire, personnels de salle, managers de site, logisticiens, techniciens, contrôleurs de qualité, personnels de nettoyage et de gestion des déchets) dans le parfait respect des règles et normes d’hygiène en vigueur </w:t>
      </w:r>
    </w:p>
    <w:p w:rsidR="00000000" w:rsidDel="00000000" w:rsidP="00000000" w:rsidRDefault="00000000" w:rsidRPr="00000000" w14:paraId="000001D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Approvisionnement, gestion des stocks, production, transformation, distribution des vivres destinées à la consommation ainsi que la reprise des stocks le cas échéant </w:t>
      </w:r>
    </w:p>
    <w:p w:rsidR="00000000" w:rsidDel="00000000" w:rsidP="00000000" w:rsidRDefault="00000000" w:rsidRPr="00000000" w14:paraId="000001D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Nettoyage, tri et gestion des déchets pour l’ensemble des espaces de catering sur les secteurs en quai de Seine bas et sur les ponts où le Candidat sera retenu. </w:t>
      </w:r>
    </w:p>
    <w:p w:rsidR="00000000" w:rsidDel="00000000" w:rsidP="00000000" w:rsidRDefault="00000000" w:rsidRPr="00000000" w14:paraId="000001D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Mise en place de contrôles d’hygiène et de procédures efficaces pour garantir l’hygiène alimentaire (Plan de maîtrise sanitaire – PMS) </w:t>
      </w:r>
    </w:p>
    <w:p w:rsidR="00000000" w:rsidDel="00000000" w:rsidP="00000000" w:rsidRDefault="00000000" w:rsidRPr="00000000" w14:paraId="000001D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Identification des risques et prise de mesures d’atténuation (Plan de continuité de l’activité - PCA)</w:t>
      </w:r>
    </w:p>
    <w:p w:rsidR="00000000" w:rsidDel="00000000" w:rsidP="00000000" w:rsidRDefault="00000000" w:rsidRPr="00000000" w14:paraId="000001D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Création d’outils de gestion et de suivi efficaces de façon à garantir à Paris 2024 une transparence totale sur la consommation réelle </w:t>
      </w:r>
    </w:p>
    <w:p w:rsidR="00000000" w:rsidDel="00000000" w:rsidP="00000000" w:rsidRDefault="00000000" w:rsidRPr="00000000" w14:paraId="000001D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Création et suivi des indicateurs de mesure de l’impact social et environnemental des services de restauration en vue de l’atteinte des objectifs d’excellence environnementale et d’héritage de Paris 2024</w:t>
      </w:r>
    </w:p>
    <w:p w:rsidR="00000000" w:rsidDel="00000000" w:rsidP="00000000" w:rsidRDefault="00000000" w:rsidRPr="00000000" w14:paraId="000001D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Application des règles de partenariat et de référencement de produits imposées par Paris 2024 </w:t>
      </w:r>
    </w:p>
    <w:p w:rsidR="00000000" w:rsidDel="00000000" w:rsidP="00000000" w:rsidRDefault="00000000" w:rsidRPr="00000000" w14:paraId="000001D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Respect des principes du Clean Venue et de la Charte Graphique </w:t>
      </w:r>
    </w:p>
    <w:p w:rsidR="00000000" w:rsidDel="00000000" w:rsidP="00000000" w:rsidRDefault="00000000" w:rsidRPr="00000000" w14:paraId="000001DA">
      <w:pPr>
        <w:rPr/>
      </w:pPr>
      <w:r w:rsidDel="00000000" w:rsidR="00000000" w:rsidRPr="00000000">
        <w:rPr>
          <w:rtl w:val="0"/>
        </w:rPr>
        <w:t xml:space="preserve">Respect de toutes les procédures opérationnelles de Paris 2024 pour assurer le fonctionnement de la Cérémonie (accréditation, sécurité, livraisons, tri de déchets &amp; nettoyage, communication etc.). </w:t>
      </w:r>
    </w:p>
    <w:p w:rsidR="00000000" w:rsidDel="00000000" w:rsidP="00000000" w:rsidRDefault="00000000" w:rsidRPr="00000000" w14:paraId="000001DB">
      <w:pPr>
        <w:rPr>
          <w:rFonts w:ascii="Source Sans Pro Light" w:cs="Source Sans Pro Light" w:eastAsia="Source Sans Pro Light" w:hAnsi="Source Sans Pro Light"/>
          <w:highlight w:val="yellow"/>
        </w:rPr>
      </w:pPr>
      <w:r w:rsidDel="00000000" w:rsidR="00000000" w:rsidRPr="00000000">
        <w:rPr>
          <w:rFonts w:ascii="Source Sans Pro Light" w:cs="Source Sans Pro Light" w:eastAsia="Source Sans Pro Light" w:hAnsi="Source Sans Pro Light"/>
          <w:rtl w:val="0"/>
        </w:rPr>
        <w:t xml:space="preserve">Le périmètre des concessions F&amp;B de Paris 2024 comporte l’ensemble des points de vente Grand Public. Une codification spécifique sera déployée par Paris 2024 pour désigner chaque point de vente et permettre de simplifier la compréhension et les opérations Games Times entre les différents interlocuteurs (P24, Visa, Coca-Cola, concessionnaire, banques alimentaires, prestataire signalétique…). </w:t>
      </w:r>
      <w:r w:rsidDel="00000000" w:rsidR="00000000" w:rsidRPr="00000000">
        <w:rPr>
          <w:rtl w:val="0"/>
        </w:rPr>
      </w:r>
    </w:p>
    <w:p w:rsidR="00000000" w:rsidDel="00000000" w:rsidP="00000000" w:rsidRDefault="00000000" w:rsidRPr="00000000" w14:paraId="000001DC">
      <w:pP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En fonction du site, le programme des concessions F&amp;B nécessite l'utilisation de concessions temporaires :</w:t>
      </w:r>
    </w:p>
    <w:p w:rsidR="00000000" w:rsidDel="00000000" w:rsidP="00000000" w:rsidRDefault="00000000" w:rsidRPr="00000000" w14:paraId="000001D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Points de vente temporaires : implémentation de points de vente additionnels (tentes, chalets, conteneurs, food-trucks…) permettant de répondre aux niveaux de services attendus pour le programme des concessions F&amp;B de Paris 2024. </w:t>
      </w:r>
      <w:r w:rsidDel="00000000" w:rsidR="00000000" w:rsidRPr="00000000">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tl w:val="0"/>
        </w:rPr>
        <w:t xml:space="preserve"> </w:t>
      </w: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1D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 Candidat devra, à ses frais, installer son propre matériel : infrastructure (le design proposé par le Candidat devra être validé par Paris 2024), comptoirs, petits équipements de cuisine, armoires frigorifiques… Dans certains secteurs, il sera nécessaire d’implémenter des conteneurs de stockage sec ou froid à proximité des concessions F&amp;B (en complément des espaces de stockage au sein des concessions). La validation de la localisation de ces espaces devra être faite par Paris 2024, en fonction de l’emprise au sol disponible. Dans ce cadre, c’est le candidat qui a la charge du sourcing, de l’installation, du budget et de la maintenance de ces éléments.</w:t>
      </w:r>
    </w:p>
    <w:p w:rsidR="00000000" w:rsidDel="00000000" w:rsidP="00000000" w:rsidRDefault="00000000" w:rsidRPr="00000000" w14:paraId="000001D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L’approvisionnement en fluides (énergie, connectivité internet et eau – quand possible sur le secteur) sera opéré par les équipes de Paris 2024 le cas échéant. Il est demandé aux concessionnaires de prévoir un responsable technique en période de montage et démontage pour la gestion des raccordements des points de ventes. Tous les points de vente devront fonctionner avec des équipements de cuisine électriques (pas de gaz, hors food-truck) pour des raisons de sécurité et de développement durable. </w:t>
      </w:r>
    </w:p>
    <w:p w:rsidR="00000000" w:rsidDel="00000000" w:rsidP="00000000" w:rsidRDefault="00000000" w:rsidRPr="00000000" w14:paraId="000001E0">
      <w:pP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Tous les points de vente mentionnés ci-dessus devront être accessible aux clients en situation de handicap avec :</w:t>
      </w:r>
    </w:p>
    <w:p w:rsidR="00000000" w:rsidDel="00000000" w:rsidP="00000000" w:rsidRDefault="00000000" w:rsidRPr="00000000" w14:paraId="000001E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 comptoir de service devra être accessible avec une partie du comptoir ayant sa surface à 0,85 m de hauteur avec un vide sous plateau de 0,75 m de hauteur pour le passage des genoux, une profondeur de 0,50 m et une largeur = ou &gt; à 0,75 m ;</w:t>
      </w:r>
    </w:p>
    <w:p w:rsidR="00000000" w:rsidDel="00000000" w:rsidP="00000000" w:rsidRDefault="00000000" w:rsidRPr="00000000" w14:paraId="000001E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Tout le personnel doit suivre une formation pour accueillir et servir les clients en situation de handicap ;</w:t>
      </w:r>
    </w:p>
    <w:p w:rsidR="00000000" w:rsidDel="00000000" w:rsidP="00000000" w:rsidRDefault="00000000" w:rsidRPr="00000000" w14:paraId="000001E3">
      <w:pPr>
        <w:spacing w:after="0" w:line="240" w:lineRule="auto"/>
        <w:rPr>
          <w:rFonts w:ascii="Source Sans Pro Light" w:cs="Source Sans Pro Light" w:eastAsia="Source Sans Pro Light" w:hAnsi="Source Sans Pro Light"/>
        </w:rPr>
      </w:pPr>
      <w:r w:rsidDel="00000000" w:rsidR="00000000" w:rsidRPr="00000000">
        <w:rPr>
          <w:rtl w:val="0"/>
        </w:rPr>
      </w:r>
    </w:p>
    <w:p w:rsidR="00000000" w:rsidDel="00000000" w:rsidP="00000000" w:rsidRDefault="00000000" w:rsidRPr="00000000" w14:paraId="000001E4">
      <w:pPr>
        <w:spacing w:after="0" w:line="24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i w:val="1"/>
          <w:rtl w:val="0"/>
        </w:rPr>
        <w:t xml:space="preserve">Voir l’annexe spécifique « Annexe A - Spécifications pour accessibilité » concernant l’accessibilité en lien avec les exigences de la règlementation française et les préconisations de Paris 2024 et de l’IPC.</w:t>
      </w:r>
      <w:r w:rsidDel="00000000" w:rsidR="00000000" w:rsidRPr="00000000">
        <w:rPr>
          <w:rtl w:val="0"/>
        </w:rPr>
      </w:r>
    </w:p>
    <w:p w:rsidR="00000000" w:rsidDel="00000000" w:rsidP="00000000" w:rsidRDefault="00000000" w:rsidRPr="00000000" w14:paraId="000001E5">
      <w:pPr>
        <w:pStyle w:val="Heading2"/>
        <w:rPr/>
      </w:pPr>
      <w:bookmarkStart w:colFirst="0" w:colLast="0" w:name="_heading=h.41mghml" w:id="37"/>
      <w:bookmarkEnd w:id="37"/>
      <w:r w:rsidDel="00000000" w:rsidR="00000000" w:rsidRPr="00000000">
        <w:rPr>
          <w:rtl w:val="0"/>
        </w:rPr>
        <w:t xml:space="preserve">3.4 VENTES AMBULANTES </w:t>
      </w:r>
    </w:p>
    <w:p w:rsidR="00000000" w:rsidDel="00000000" w:rsidP="00000000" w:rsidRDefault="00000000" w:rsidRPr="00000000" w14:paraId="000001E6">
      <w:pPr>
        <w:rPr/>
      </w:pPr>
      <w:r w:rsidDel="00000000" w:rsidR="00000000" w:rsidRPr="00000000">
        <w:rPr>
          <w:rFonts w:ascii="Source Sans Pro Light" w:cs="Source Sans Pro Light" w:eastAsia="Source Sans Pro Light" w:hAnsi="Source Sans Pro Light"/>
          <w:rtl w:val="0"/>
        </w:rPr>
        <w:t xml:space="preserve">Des ventes ambulantes pourront être mises en place sur certains secteurs pour permettre d’alléger certaines concessions F&amp;B sur certains temps forts de consommation et également de créer des points de consommation additionnels dans des emplacements techniquement </w:t>
      </w:r>
      <w:r w:rsidDel="00000000" w:rsidR="00000000" w:rsidRPr="00000000">
        <w:rPr>
          <w:rtl w:val="0"/>
        </w:rPr>
        <w:t xml:space="preserve">difficiles</w:t>
      </w:r>
      <w:r w:rsidDel="00000000" w:rsidR="00000000" w:rsidRPr="00000000">
        <w:rPr>
          <w:rFonts w:ascii="Source Sans Pro Light" w:cs="Source Sans Pro Light" w:eastAsia="Source Sans Pro Light" w:hAnsi="Source Sans Pro Light"/>
          <w:rtl w:val="0"/>
        </w:rPr>
        <w:t xml:space="preserve"> à activer (alimentation en fluide, topologie du site…). </w:t>
      </w:r>
      <w:r w:rsidDel="00000000" w:rsidR="00000000" w:rsidRPr="00000000">
        <w:rPr>
          <w:rtl w:val="0"/>
        </w:rPr>
      </w:r>
    </w:p>
    <w:p w:rsidR="00000000" w:rsidDel="00000000" w:rsidP="00000000" w:rsidRDefault="00000000" w:rsidRPr="00000000" w14:paraId="000001E7">
      <w:pPr>
        <w:rPr/>
      </w:pPr>
      <w:r w:rsidDel="00000000" w:rsidR="00000000" w:rsidRPr="00000000">
        <w:rPr>
          <w:rFonts w:ascii="Source Sans Pro Light" w:cs="Source Sans Pro Light" w:eastAsia="Source Sans Pro Light" w:hAnsi="Source Sans Pro Light"/>
          <w:rtl w:val="0"/>
        </w:rPr>
        <w:t xml:space="preserve">Les concessionnaires devront envoyer à Paris 2024 les propositions de push-carts / mobile carts pour validation auprès du CIO.</w:t>
      </w:r>
      <w:r w:rsidDel="00000000" w:rsidR="00000000" w:rsidRPr="00000000">
        <w:rPr>
          <w:rtl w:val="0"/>
        </w:rPr>
      </w:r>
    </w:p>
    <w:p w:rsidR="00000000" w:rsidDel="00000000" w:rsidP="00000000" w:rsidRDefault="00000000" w:rsidRPr="00000000" w14:paraId="000001E8">
      <w:pPr>
        <w:pStyle w:val="Heading2"/>
        <w:rPr/>
      </w:pPr>
      <w:bookmarkStart w:colFirst="0" w:colLast="0" w:name="_heading=h.2grqrue" w:id="38"/>
      <w:bookmarkEnd w:id="38"/>
      <w:r w:rsidDel="00000000" w:rsidR="00000000" w:rsidRPr="00000000">
        <w:rPr>
          <w:rtl w:val="0"/>
        </w:rPr>
        <w:t xml:space="preserve">3.5 Les exclusions de la mission</w:t>
      </w:r>
    </w:p>
    <w:p w:rsidR="00000000" w:rsidDel="00000000" w:rsidP="00000000" w:rsidRDefault="00000000" w:rsidRPr="00000000" w14:paraId="000001E9">
      <w:pPr>
        <w:rPr/>
      </w:pPr>
      <w:r w:rsidDel="00000000" w:rsidR="00000000" w:rsidRPr="00000000">
        <w:rPr>
          <w:rtl w:val="0"/>
        </w:rPr>
        <w:t xml:space="preserve">Les sujets listés ci-dessous sont exclus des missions du Candidat retenu :</w:t>
      </w:r>
    </w:p>
    <w:p w:rsidR="00000000" w:rsidDel="00000000" w:rsidP="00000000" w:rsidRDefault="00000000" w:rsidRPr="00000000" w14:paraId="000001E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Acheminement des fluides (électricité, alimentation en eau et réseaux) jusqu’aux espaces de restauration</w:t>
      </w:r>
    </w:p>
    <w:p w:rsidR="00000000" w:rsidDel="00000000" w:rsidP="00000000" w:rsidRDefault="00000000" w:rsidRPr="00000000" w14:paraId="000001E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Look &amp; Feel (branding) des espaces de restauration ainsi que les panneaux d’affichage des menus indiquant les prix dans les points de vente  </w:t>
      </w:r>
    </w:p>
    <w:p w:rsidR="00000000" w:rsidDel="00000000" w:rsidP="00000000" w:rsidRDefault="00000000" w:rsidRPr="00000000" w14:paraId="000001E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Signalétique directionnelle</w:t>
      </w:r>
    </w:p>
    <w:p w:rsidR="00000000" w:rsidDel="00000000" w:rsidP="00000000" w:rsidRDefault="00000000" w:rsidRPr="00000000" w14:paraId="000001E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Nettoyage des zones de déambulation </w:t>
      </w:r>
    </w:p>
    <w:p w:rsidR="00000000" w:rsidDel="00000000" w:rsidP="00000000" w:rsidRDefault="00000000" w:rsidRPr="00000000" w14:paraId="000001EE">
      <w:pPr>
        <w:spacing w:after="0"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EF">
      <w:pPr>
        <w:pStyle w:val="Heading1"/>
        <w:rPr/>
      </w:pPr>
      <w:bookmarkStart w:colFirst="0" w:colLast="0" w:name="_heading=h.vx1227" w:id="39"/>
      <w:bookmarkEnd w:id="39"/>
      <w:r w:rsidDel="00000000" w:rsidR="00000000" w:rsidRPr="00000000">
        <w:rPr>
          <w:rtl w:val="0"/>
        </w:rPr>
        <w:t xml:space="preserve">4. Les niveaux de service</w:t>
      </w:r>
    </w:p>
    <w:p w:rsidR="00000000" w:rsidDel="00000000" w:rsidP="00000000" w:rsidRDefault="00000000" w:rsidRPr="00000000" w14:paraId="000001F0">
      <w:pPr>
        <w:rPr/>
      </w:pPr>
      <w:r w:rsidDel="00000000" w:rsidR="00000000" w:rsidRPr="00000000">
        <w:rPr>
          <w:rtl w:val="0"/>
        </w:rPr>
        <w:t xml:space="preserve">Les niveaux de services de la Cérémonie d’Ouverture doivent répondre aux spécifications listées ci-après. </w:t>
      </w:r>
    </w:p>
    <w:p w:rsidR="00000000" w:rsidDel="00000000" w:rsidP="00000000" w:rsidRDefault="00000000" w:rsidRPr="00000000" w14:paraId="000001F1">
      <w:pPr>
        <w:pStyle w:val="Heading2"/>
        <w:rPr/>
      </w:pPr>
      <w:bookmarkStart w:colFirst="0" w:colLast="0" w:name="_heading=h.3fwokq0" w:id="40"/>
      <w:bookmarkEnd w:id="40"/>
      <w:r w:rsidDel="00000000" w:rsidR="00000000" w:rsidRPr="00000000">
        <w:rPr>
          <w:rtl w:val="0"/>
        </w:rPr>
        <w:t xml:space="preserve">4.1 La qualité de l’offre alimentaire</w:t>
      </w:r>
    </w:p>
    <w:tbl>
      <w:tblPr>
        <w:tblStyle w:val="Table2"/>
        <w:tblW w:w="97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9785"/>
        <w:tblGridChange w:id="0">
          <w:tblGrid>
            <w:gridCol w:w="9785"/>
          </w:tblGrid>
        </w:tblGridChange>
      </w:tblGrid>
      <w:tr>
        <w:trPr>
          <w:cantSplit w:val="0"/>
          <w:trHeight w:val="291" w:hRule="atLeast"/>
          <w:tblHeader w:val="0"/>
        </w:trPr>
        <w:tc>
          <w:tcPr>
            <w:vAlign w:val="center"/>
          </w:tcPr>
          <w:p w:rsidR="00000000" w:rsidDel="00000000" w:rsidP="00000000" w:rsidRDefault="00000000" w:rsidRPr="00000000" w14:paraId="000001F2">
            <w:pPr>
              <w:spacing w:after="0" w:lineRule="auto"/>
              <w:rPr/>
            </w:pPr>
            <w:r w:rsidDel="00000000" w:rsidR="00000000" w:rsidRPr="00000000">
              <w:rPr>
                <w:rtl w:val="0"/>
              </w:rPr>
              <w:t xml:space="preserve">Qualité de l’offre alimentaire</w:t>
            </w:r>
          </w:p>
        </w:tc>
      </w:tr>
      <w:tr>
        <w:trPr>
          <w:cantSplit w:val="0"/>
          <w:trHeight w:val="174" w:hRule="atLeast"/>
          <w:tblHeader w:val="0"/>
        </w:trPr>
        <w:tc>
          <w:tcPr>
            <w:vAlign w:val="center"/>
          </w:tcPr>
          <w:p w:rsidR="00000000" w:rsidDel="00000000" w:rsidP="00000000" w:rsidRDefault="00000000" w:rsidRPr="00000000" w14:paraId="000001F3">
            <w:pPr>
              <w:spacing w:after="0" w:lineRule="auto"/>
              <w:rPr>
                <w:b w:val="0"/>
              </w:rPr>
            </w:pPr>
            <w:r w:rsidDel="00000000" w:rsidR="00000000" w:rsidRPr="00000000">
              <w:rPr>
                <w:b w:val="0"/>
                <w:rtl w:val="0"/>
              </w:rPr>
              <w:t xml:space="preserve">Fournir une alimentation de qualité </w:t>
            </w:r>
          </w:p>
        </w:tc>
      </w:tr>
      <w:tr>
        <w:trPr>
          <w:cantSplit w:val="0"/>
          <w:trHeight w:val="185" w:hRule="atLeast"/>
          <w:tblHeader w:val="0"/>
        </w:trPr>
        <w:tc>
          <w:tcPr>
            <w:vAlign w:val="center"/>
          </w:tcPr>
          <w:p w:rsidR="00000000" w:rsidDel="00000000" w:rsidP="00000000" w:rsidRDefault="00000000" w:rsidRPr="00000000" w14:paraId="000001F4">
            <w:pPr>
              <w:spacing w:after="0" w:lineRule="auto"/>
              <w:rPr>
                <w:b w:val="0"/>
              </w:rPr>
            </w:pPr>
            <w:r w:rsidDel="00000000" w:rsidR="00000000" w:rsidRPr="00000000">
              <w:rPr>
                <w:b w:val="0"/>
                <w:rtl w:val="0"/>
              </w:rPr>
              <w:t xml:space="preserve">Proposer de préférence du fait-maison et travailler à partir de vivres frais &amp; appétissants</w:t>
            </w:r>
          </w:p>
        </w:tc>
      </w:tr>
      <w:tr>
        <w:trPr>
          <w:cantSplit w:val="0"/>
          <w:trHeight w:val="185" w:hRule="atLeast"/>
          <w:tblHeader w:val="0"/>
        </w:trPr>
        <w:tc>
          <w:tcPr>
            <w:vAlign w:val="center"/>
          </w:tcPr>
          <w:p w:rsidR="00000000" w:rsidDel="00000000" w:rsidP="00000000" w:rsidRDefault="00000000" w:rsidRPr="00000000" w14:paraId="000001F5">
            <w:pPr>
              <w:spacing w:after="0" w:lineRule="auto"/>
              <w:rPr>
                <w:b w:val="0"/>
              </w:rPr>
            </w:pPr>
            <w:r w:rsidDel="00000000" w:rsidR="00000000" w:rsidRPr="00000000">
              <w:rPr>
                <w:b w:val="0"/>
                <w:rtl w:val="0"/>
              </w:rPr>
              <w:t xml:space="preserve">Respecter la labellisation des aliments tel que stipulé dans la Food Vision  </w:t>
            </w:r>
          </w:p>
        </w:tc>
      </w:tr>
      <w:tr>
        <w:trPr>
          <w:cantSplit w:val="0"/>
          <w:trHeight w:val="185" w:hRule="atLeast"/>
          <w:tblHeader w:val="0"/>
        </w:trPr>
        <w:tc>
          <w:tcPr>
            <w:vAlign w:val="center"/>
          </w:tcPr>
          <w:p w:rsidR="00000000" w:rsidDel="00000000" w:rsidP="00000000" w:rsidRDefault="00000000" w:rsidRPr="00000000" w14:paraId="000001F6">
            <w:pPr>
              <w:spacing w:after="0" w:lineRule="auto"/>
              <w:rPr>
                <w:b w:val="0"/>
              </w:rPr>
            </w:pPr>
            <w:r w:rsidDel="00000000" w:rsidR="00000000" w:rsidRPr="00000000">
              <w:rPr>
                <w:b w:val="0"/>
                <w:rtl w:val="0"/>
              </w:rPr>
              <w:t xml:space="preserve">Garantir une traçabilité des aliments de la production jusqu’à la transformation / consommation  </w:t>
            </w:r>
          </w:p>
        </w:tc>
      </w:tr>
      <w:tr>
        <w:trPr>
          <w:cantSplit w:val="0"/>
          <w:trHeight w:val="185" w:hRule="atLeast"/>
          <w:tblHeader w:val="0"/>
        </w:trPr>
        <w:tc>
          <w:tcPr>
            <w:vAlign w:val="center"/>
          </w:tcPr>
          <w:p w:rsidR="00000000" w:rsidDel="00000000" w:rsidP="00000000" w:rsidRDefault="00000000" w:rsidRPr="00000000" w14:paraId="000001F7">
            <w:pPr>
              <w:spacing w:after="0" w:lineRule="auto"/>
              <w:rPr>
                <w:b w:val="0"/>
              </w:rPr>
            </w:pPr>
            <w:r w:rsidDel="00000000" w:rsidR="00000000" w:rsidRPr="00000000">
              <w:rPr>
                <w:b w:val="0"/>
                <w:rtl w:val="0"/>
              </w:rPr>
              <w:t xml:space="preserve">Être de provenance locale de préférence ou sinon régionale voire française afin de favoriser les circuits courts et l’économie circulaire (voir Food Vision en Annexe D)</w:t>
            </w:r>
          </w:p>
        </w:tc>
      </w:tr>
      <w:tr>
        <w:trPr>
          <w:cantSplit w:val="0"/>
          <w:trHeight w:val="185" w:hRule="atLeast"/>
          <w:tblHeader w:val="0"/>
        </w:trPr>
        <w:tc>
          <w:tcPr>
            <w:vAlign w:val="center"/>
          </w:tcPr>
          <w:p w:rsidR="00000000" w:rsidDel="00000000" w:rsidP="00000000" w:rsidRDefault="00000000" w:rsidRPr="00000000" w14:paraId="000001F8">
            <w:pPr>
              <w:spacing w:after="0" w:lineRule="auto"/>
              <w:rPr>
                <w:b w:val="0"/>
              </w:rPr>
            </w:pPr>
            <w:r w:rsidDel="00000000" w:rsidR="00000000" w:rsidRPr="00000000">
              <w:rPr>
                <w:b w:val="0"/>
                <w:rtl w:val="0"/>
              </w:rPr>
              <w:t xml:space="preserve">Proposer systématiquement une offre végétale et végane</w:t>
            </w:r>
          </w:p>
        </w:tc>
      </w:tr>
      <w:tr>
        <w:trPr>
          <w:cantSplit w:val="0"/>
          <w:trHeight w:val="185" w:hRule="atLeast"/>
          <w:tblHeader w:val="0"/>
        </w:trPr>
        <w:tc>
          <w:tcPr>
            <w:vAlign w:val="center"/>
          </w:tcPr>
          <w:p w:rsidR="00000000" w:rsidDel="00000000" w:rsidP="00000000" w:rsidRDefault="00000000" w:rsidRPr="00000000" w14:paraId="000001F9">
            <w:pPr>
              <w:spacing w:after="0" w:lineRule="auto"/>
              <w:rPr>
                <w:b w:val="0"/>
              </w:rPr>
            </w:pPr>
            <w:r w:rsidDel="00000000" w:rsidR="00000000" w:rsidRPr="00000000">
              <w:rPr>
                <w:b w:val="0"/>
                <w:rtl w:val="0"/>
              </w:rPr>
              <w:t xml:space="preserve">S’approvisionner conformément à la stratégie responsable des achats de Paris 2024 (voir annexe F)</w:t>
            </w:r>
          </w:p>
        </w:tc>
      </w:tr>
    </w:tbl>
    <w:p w:rsidR="00000000" w:rsidDel="00000000" w:rsidP="00000000" w:rsidRDefault="00000000" w:rsidRPr="00000000" w14:paraId="000001FA">
      <w:pPr>
        <w:pStyle w:val="Heading2"/>
        <w:rPr/>
      </w:pPr>
      <w:bookmarkStart w:colFirst="0" w:colLast="0" w:name="_heading=h.1v1yuxt" w:id="41"/>
      <w:bookmarkEnd w:id="41"/>
      <w:r w:rsidDel="00000000" w:rsidR="00000000" w:rsidRPr="00000000">
        <w:rPr>
          <w:rtl w:val="0"/>
        </w:rPr>
        <w:t xml:space="preserve">4.2 La qualité de service</w:t>
      </w:r>
    </w:p>
    <w:tbl>
      <w:tblPr>
        <w:tblStyle w:val="Table3"/>
        <w:tblW w:w="97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9761"/>
        <w:tblGridChange w:id="0">
          <w:tblGrid>
            <w:gridCol w:w="9761"/>
          </w:tblGrid>
        </w:tblGridChange>
      </w:tblGrid>
      <w:tr>
        <w:trPr>
          <w:cantSplit w:val="0"/>
          <w:trHeight w:val="235" w:hRule="atLeast"/>
          <w:tblHeader w:val="0"/>
        </w:trPr>
        <w:tc>
          <w:tcPr>
            <w:vAlign w:val="center"/>
          </w:tcPr>
          <w:p w:rsidR="00000000" w:rsidDel="00000000" w:rsidP="00000000" w:rsidRDefault="00000000" w:rsidRPr="00000000" w14:paraId="000001FB">
            <w:pPr>
              <w:spacing w:after="0" w:lineRule="auto"/>
              <w:rPr/>
            </w:pPr>
            <w:r w:rsidDel="00000000" w:rsidR="00000000" w:rsidRPr="00000000">
              <w:rPr>
                <w:rtl w:val="0"/>
              </w:rPr>
              <w:t xml:space="preserve">Qualité de service</w:t>
            </w:r>
          </w:p>
        </w:tc>
      </w:tr>
      <w:tr>
        <w:trPr>
          <w:cantSplit w:val="0"/>
          <w:trHeight w:val="141" w:hRule="atLeast"/>
          <w:tblHeader w:val="0"/>
        </w:trPr>
        <w:tc>
          <w:tcPr>
            <w:vAlign w:val="center"/>
          </w:tcPr>
          <w:p w:rsidR="00000000" w:rsidDel="00000000" w:rsidP="00000000" w:rsidRDefault="00000000" w:rsidRPr="00000000" w14:paraId="000001FC">
            <w:pPr>
              <w:spacing w:after="0" w:lineRule="auto"/>
              <w:rPr>
                <w:b w:val="0"/>
              </w:rPr>
            </w:pPr>
            <w:r w:rsidDel="00000000" w:rsidR="00000000" w:rsidRPr="00000000">
              <w:rPr>
                <w:b w:val="0"/>
                <w:rtl w:val="0"/>
              </w:rPr>
              <w:t xml:space="preserve">Garantir un service de qualité, rapide et efficace avec un personnel bien formé, flexible et en nombre</w:t>
            </w:r>
          </w:p>
        </w:tc>
      </w:tr>
      <w:tr>
        <w:trPr>
          <w:cantSplit w:val="0"/>
          <w:trHeight w:val="312" w:hRule="atLeast"/>
          <w:tblHeader w:val="0"/>
        </w:trPr>
        <w:tc>
          <w:tcPr>
            <w:vAlign w:val="center"/>
          </w:tcPr>
          <w:p w:rsidR="00000000" w:rsidDel="00000000" w:rsidP="00000000" w:rsidRDefault="00000000" w:rsidRPr="00000000" w14:paraId="000001FD">
            <w:pPr>
              <w:spacing w:after="0" w:lineRule="auto"/>
              <w:rPr>
                <w:b w:val="0"/>
              </w:rPr>
            </w:pPr>
            <w:r w:rsidDel="00000000" w:rsidR="00000000" w:rsidRPr="00000000">
              <w:rPr>
                <w:b w:val="0"/>
                <w:rtl w:val="0"/>
              </w:rPr>
              <w:t xml:space="preserve">Prévoir un personnel maitrisant au moins deux langues, de préférence l’anglais </w:t>
            </w:r>
          </w:p>
        </w:tc>
      </w:tr>
      <w:tr>
        <w:trPr>
          <w:cantSplit w:val="0"/>
          <w:trHeight w:val="150" w:hRule="atLeast"/>
          <w:tblHeader w:val="0"/>
        </w:trPr>
        <w:tc>
          <w:tcPr>
            <w:vAlign w:val="center"/>
          </w:tcPr>
          <w:p w:rsidR="00000000" w:rsidDel="00000000" w:rsidP="00000000" w:rsidRDefault="00000000" w:rsidRPr="00000000" w14:paraId="000001FE">
            <w:pPr>
              <w:spacing w:after="0" w:lineRule="auto"/>
              <w:rPr>
                <w:b w:val="0"/>
              </w:rPr>
            </w:pPr>
            <w:r w:rsidDel="00000000" w:rsidR="00000000" w:rsidRPr="00000000">
              <w:rPr>
                <w:b w:val="0"/>
                <w:rtl w:val="0"/>
              </w:rPr>
              <w:t xml:space="preserve">Avoir suffisamment de mètres linéaires de service pour garantir la fluidité et rapidité de service</w:t>
            </w:r>
          </w:p>
        </w:tc>
      </w:tr>
      <w:tr>
        <w:trPr>
          <w:cantSplit w:val="0"/>
          <w:trHeight w:val="150" w:hRule="atLeast"/>
          <w:tblHeader w:val="0"/>
        </w:trPr>
        <w:tc>
          <w:tcPr>
            <w:vAlign w:val="center"/>
          </w:tcPr>
          <w:p w:rsidR="00000000" w:rsidDel="00000000" w:rsidP="00000000" w:rsidRDefault="00000000" w:rsidRPr="00000000" w14:paraId="000001FF">
            <w:pPr>
              <w:spacing w:after="0" w:lineRule="auto"/>
              <w:rPr/>
            </w:pPr>
            <w:r w:rsidDel="00000000" w:rsidR="00000000" w:rsidRPr="00000000">
              <w:rPr>
                <w:b w:val="0"/>
                <w:rtl w:val="0"/>
              </w:rPr>
              <w:t xml:space="preserve">Le jour de la Cérémonie le réapprovisionnement sera impossible. Prévoir un stockage suffisant pour répondre aux demandes spectateurs (se baser sur les jauges communiquées dans les plans). </w:t>
            </w:r>
            <w:r w:rsidDel="00000000" w:rsidR="00000000" w:rsidRPr="00000000">
              <w:rPr>
                <w:rtl w:val="0"/>
              </w:rPr>
            </w:r>
          </w:p>
        </w:tc>
      </w:tr>
      <w:tr>
        <w:trPr>
          <w:cantSplit w:val="0"/>
          <w:trHeight w:val="150" w:hRule="atLeast"/>
          <w:tblHeader w:val="0"/>
        </w:trPr>
        <w:tc>
          <w:tcPr>
            <w:vAlign w:val="center"/>
          </w:tcPr>
          <w:p w:rsidR="00000000" w:rsidDel="00000000" w:rsidP="00000000" w:rsidRDefault="00000000" w:rsidRPr="00000000" w14:paraId="00000200">
            <w:pPr>
              <w:spacing w:after="0" w:lineRule="auto"/>
              <w:rPr>
                <w:b w:val="0"/>
              </w:rPr>
            </w:pPr>
            <w:r w:rsidDel="00000000" w:rsidR="00000000" w:rsidRPr="00000000">
              <w:rPr>
                <w:b w:val="0"/>
                <w:rtl w:val="0"/>
              </w:rPr>
              <w:t xml:space="preserve">Effectuer des relevés réguliers de températures des vivres chauds et froids et remédier à une baisse potentielle de qualité des produits</w:t>
            </w:r>
          </w:p>
        </w:tc>
      </w:tr>
    </w:tbl>
    <w:p w:rsidR="00000000" w:rsidDel="00000000" w:rsidP="00000000" w:rsidRDefault="00000000" w:rsidRPr="00000000" w14:paraId="00000201">
      <w:pPr>
        <w:pStyle w:val="Heading2"/>
        <w:rPr/>
      </w:pPr>
      <w:bookmarkStart w:colFirst="0" w:colLast="0" w:name="_heading=h.4f1mdlm" w:id="42"/>
      <w:bookmarkEnd w:id="42"/>
      <w:r w:rsidDel="00000000" w:rsidR="00000000" w:rsidRPr="00000000">
        <w:rPr>
          <w:rtl w:val="0"/>
        </w:rPr>
        <w:t xml:space="preserve">4.3 L’accessibilité</w:t>
      </w:r>
    </w:p>
    <w:tbl>
      <w:tblPr>
        <w:tblStyle w:val="Table4"/>
        <w:tblW w:w="98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9806"/>
        <w:tblGridChange w:id="0">
          <w:tblGrid>
            <w:gridCol w:w="9806"/>
          </w:tblGrid>
        </w:tblGridChange>
      </w:tblGrid>
      <w:tr>
        <w:trPr>
          <w:cantSplit w:val="0"/>
          <w:trHeight w:val="149" w:hRule="atLeast"/>
          <w:tblHeader w:val="0"/>
        </w:trPr>
        <w:tc>
          <w:tcPr>
            <w:vAlign w:val="center"/>
          </w:tcPr>
          <w:p w:rsidR="00000000" w:rsidDel="00000000" w:rsidP="00000000" w:rsidRDefault="00000000" w:rsidRPr="00000000" w14:paraId="00000202">
            <w:pPr>
              <w:spacing w:after="0" w:lineRule="auto"/>
              <w:rPr/>
            </w:pPr>
            <w:r w:rsidDel="00000000" w:rsidR="00000000" w:rsidRPr="00000000">
              <w:rPr>
                <w:rtl w:val="0"/>
              </w:rPr>
              <w:t xml:space="preserve">Accessibilité</w:t>
            </w:r>
          </w:p>
        </w:tc>
      </w:tr>
      <w:tr>
        <w:trPr>
          <w:cantSplit w:val="0"/>
          <w:trHeight w:val="89" w:hRule="atLeast"/>
          <w:tblHeader w:val="0"/>
        </w:trPr>
        <w:tc>
          <w:tcPr>
            <w:vAlign w:val="center"/>
          </w:tcPr>
          <w:p w:rsidR="00000000" w:rsidDel="00000000" w:rsidP="00000000" w:rsidRDefault="00000000" w:rsidRPr="00000000" w14:paraId="00000203">
            <w:pPr>
              <w:spacing w:after="0" w:lineRule="auto"/>
              <w:rPr>
                <w:b w:val="0"/>
              </w:rPr>
            </w:pPr>
            <w:r w:rsidDel="00000000" w:rsidR="00000000" w:rsidRPr="00000000">
              <w:rPr>
                <w:b w:val="0"/>
                <w:rtl w:val="0"/>
              </w:rPr>
              <w:t xml:space="preserve">Intégrer les critères d’accessibilité des PSH dans la conception des zones de service</w:t>
            </w:r>
          </w:p>
        </w:tc>
      </w:tr>
      <w:tr>
        <w:trPr>
          <w:cantSplit w:val="0"/>
          <w:trHeight w:val="89" w:hRule="atLeast"/>
          <w:tblHeader w:val="0"/>
        </w:trPr>
        <w:tc>
          <w:tcPr>
            <w:vAlign w:val="center"/>
          </w:tcPr>
          <w:p w:rsidR="00000000" w:rsidDel="00000000" w:rsidP="00000000" w:rsidRDefault="00000000" w:rsidRPr="00000000" w14:paraId="00000204">
            <w:pPr>
              <w:spacing w:after="0" w:lineRule="auto"/>
              <w:rPr>
                <w:b w:val="0"/>
              </w:rPr>
            </w:pPr>
            <w:r w:rsidDel="00000000" w:rsidR="00000000" w:rsidRPr="00000000">
              <w:rPr>
                <w:b w:val="0"/>
                <w:rtl w:val="0"/>
              </w:rPr>
              <w:t xml:space="preserve">Prévoir un plan de formation spécifique pour le personnel en contact direct avec les PSH</w:t>
            </w:r>
          </w:p>
        </w:tc>
      </w:tr>
    </w:tbl>
    <w:p w:rsidR="00000000" w:rsidDel="00000000" w:rsidP="00000000" w:rsidRDefault="00000000" w:rsidRPr="00000000" w14:paraId="00000205">
      <w:pPr>
        <w:pStyle w:val="Heading2"/>
        <w:rPr/>
      </w:pPr>
      <w:bookmarkStart w:colFirst="0" w:colLast="0" w:name="_heading=h.2u6wntf" w:id="43"/>
      <w:bookmarkEnd w:id="43"/>
      <w:r w:rsidDel="00000000" w:rsidR="00000000" w:rsidRPr="00000000">
        <w:rPr>
          <w:rtl w:val="0"/>
        </w:rPr>
        <w:t xml:space="preserve">4.4 L’hygiène alimentaire</w:t>
      </w:r>
    </w:p>
    <w:tbl>
      <w:tblPr>
        <w:tblStyle w:val="Table5"/>
        <w:tblW w:w="980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9803"/>
        <w:tblGridChange w:id="0">
          <w:tblGrid>
            <w:gridCol w:w="9803"/>
          </w:tblGrid>
        </w:tblGridChange>
      </w:tblGrid>
      <w:tr>
        <w:trPr>
          <w:cantSplit w:val="0"/>
          <w:trHeight w:val="182" w:hRule="atLeast"/>
          <w:tblHeader w:val="0"/>
        </w:trPr>
        <w:tc>
          <w:tcPr>
            <w:vAlign w:val="center"/>
          </w:tcPr>
          <w:p w:rsidR="00000000" w:rsidDel="00000000" w:rsidP="00000000" w:rsidRDefault="00000000" w:rsidRPr="00000000" w14:paraId="00000206">
            <w:pPr>
              <w:spacing w:after="0" w:lineRule="auto"/>
              <w:rPr/>
            </w:pPr>
            <w:r w:rsidDel="00000000" w:rsidR="00000000" w:rsidRPr="00000000">
              <w:rPr>
                <w:rtl w:val="0"/>
              </w:rPr>
              <w:t xml:space="preserve">Hygiène alimentaire</w:t>
            </w:r>
          </w:p>
        </w:tc>
      </w:tr>
      <w:tr>
        <w:trPr>
          <w:cantSplit w:val="0"/>
          <w:trHeight w:val="109" w:hRule="atLeast"/>
          <w:tblHeader w:val="0"/>
        </w:trPr>
        <w:tc>
          <w:tcPr>
            <w:vAlign w:val="center"/>
          </w:tcPr>
          <w:p w:rsidR="00000000" w:rsidDel="00000000" w:rsidP="00000000" w:rsidRDefault="00000000" w:rsidRPr="00000000" w14:paraId="00000207">
            <w:pPr>
              <w:spacing w:after="0" w:lineRule="auto"/>
              <w:rPr>
                <w:b w:val="0"/>
              </w:rPr>
            </w:pPr>
            <w:r w:rsidDel="00000000" w:rsidR="00000000" w:rsidRPr="00000000">
              <w:rPr>
                <w:b w:val="0"/>
                <w:rtl w:val="0"/>
              </w:rPr>
              <w:t xml:space="preserve">Assurer la gestion globale de la sécurité alimentaire par des processus et des démarches adaptés, de l’approvisionnement à la distribution</w:t>
            </w:r>
          </w:p>
        </w:tc>
      </w:tr>
      <w:tr>
        <w:trPr>
          <w:cantSplit w:val="0"/>
          <w:trHeight w:val="109" w:hRule="atLeast"/>
          <w:tblHeader w:val="0"/>
        </w:trPr>
        <w:tc>
          <w:tcPr>
            <w:vAlign w:val="center"/>
          </w:tcPr>
          <w:p w:rsidR="00000000" w:rsidDel="00000000" w:rsidP="00000000" w:rsidRDefault="00000000" w:rsidRPr="00000000" w14:paraId="00000208">
            <w:pPr>
              <w:spacing w:after="0" w:lineRule="auto"/>
              <w:rPr>
                <w:b w:val="0"/>
              </w:rPr>
            </w:pPr>
            <w:r w:rsidDel="00000000" w:rsidR="00000000" w:rsidRPr="00000000">
              <w:rPr>
                <w:b w:val="0"/>
                <w:rtl w:val="0"/>
              </w:rPr>
              <w:t xml:space="preserve">Fournir l’ensemble des documents nécessaires à la Commission d’Hygiène et de Sécurité ainsi qu’aux Services Vétérinaires (attestations, rapports, procès-verbaux, etc.)</w:t>
            </w:r>
          </w:p>
        </w:tc>
      </w:tr>
      <w:tr>
        <w:trPr>
          <w:cantSplit w:val="0"/>
          <w:trHeight w:val="109" w:hRule="atLeast"/>
          <w:tblHeader w:val="0"/>
        </w:trPr>
        <w:tc>
          <w:tcPr>
            <w:vAlign w:val="center"/>
          </w:tcPr>
          <w:p w:rsidR="00000000" w:rsidDel="00000000" w:rsidP="00000000" w:rsidRDefault="00000000" w:rsidRPr="00000000" w14:paraId="00000209">
            <w:pPr>
              <w:spacing w:after="0" w:lineRule="auto"/>
              <w:rPr>
                <w:b w:val="0"/>
              </w:rPr>
            </w:pPr>
            <w:r w:rsidDel="00000000" w:rsidR="00000000" w:rsidRPr="00000000">
              <w:rPr>
                <w:b w:val="0"/>
                <w:rtl w:val="0"/>
              </w:rPr>
              <w:t xml:space="preserve">Garantir la présence au quotidien d’au moins un de ses cadres dirigeants ainsi que d’un expert en contrôle qualité et / ou hygiène alimentaire</w:t>
            </w:r>
          </w:p>
        </w:tc>
      </w:tr>
      <w:tr>
        <w:trPr>
          <w:cantSplit w:val="0"/>
          <w:trHeight w:val="109" w:hRule="atLeast"/>
          <w:tblHeader w:val="0"/>
        </w:trPr>
        <w:tc>
          <w:tcPr>
            <w:vAlign w:val="center"/>
          </w:tcPr>
          <w:p w:rsidR="00000000" w:rsidDel="00000000" w:rsidP="00000000" w:rsidRDefault="00000000" w:rsidRPr="00000000" w14:paraId="0000020A">
            <w:pPr>
              <w:spacing w:after="0" w:lineRule="auto"/>
              <w:rPr>
                <w:b w:val="0"/>
              </w:rPr>
            </w:pPr>
            <w:r w:rsidDel="00000000" w:rsidR="00000000" w:rsidRPr="00000000">
              <w:rPr>
                <w:b w:val="0"/>
                <w:rtl w:val="0"/>
              </w:rPr>
              <w:t xml:space="preserve">Effectuer des audits d’hygiène dans les locaux affectés, permettant de relever les écarts importants avec les normes requises dans les domaines suivants : Installations, matériels, procédures de travail et réglementation sanitaire. Envoyer un rapport à Paris 2024 sur les anomalies </w:t>
            </w:r>
          </w:p>
        </w:tc>
      </w:tr>
      <w:tr>
        <w:trPr>
          <w:cantSplit w:val="0"/>
          <w:trHeight w:val="109" w:hRule="atLeast"/>
          <w:tblHeader w:val="0"/>
        </w:trPr>
        <w:tc>
          <w:tcPr>
            <w:vAlign w:val="center"/>
          </w:tcPr>
          <w:p w:rsidR="00000000" w:rsidDel="00000000" w:rsidP="00000000" w:rsidRDefault="00000000" w:rsidRPr="00000000" w14:paraId="0000020B">
            <w:pPr>
              <w:spacing w:after="0" w:lineRule="auto"/>
              <w:rPr>
                <w:b w:val="0"/>
              </w:rPr>
            </w:pPr>
            <w:r w:rsidDel="00000000" w:rsidR="00000000" w:rsidRPr="00000000">
              <w:rPr>
                <w:b w:val="0"/>
                <w:rtl w:val="0"/>
              </w:rPr>
              <w:t xml:space="preserve">Réaliser des prélèvements d’échantillons d’analyses microbiologiques et prises de lame de surface pendant la période d’exploitation</w:t>
            </w:r>
          </w:p>
        </w:tc>
      </w:tr>
    </w:tbl>
    <w:p w:rsidR="00000000" w:rsidDel="00000000" w:rsidP="00000000" w:rsidRDefault="00000000" w:rsidRPr="00000000" w14:paraId="0000020C">
      <w:pPr>
        <w:pStyle w:val="Heading2"/>
        <w:rPr/>
      </w:pPr>
      <w:bookmarkStart w:colFirst="0" w:colLast="0" w:name="_heading=h.19c6y18" w:id="44"/>
      <w:bookmarkEnd w:id="44"/>
      <w:r w:rsidDel="00000000" w:rsidR="00000000" w:rsidRPr="00000000">
        <w:rPr>
          <w:rtl w:val="0"/>
        </w:rPr>
        <w:t xml:space="preserve">4.5 L’affichage et la communication</w:t>
      </w:r>
    </w:p>
    <w:tbl>
      <w:tblPr>
        <w:tblStyle w:val="Table6"/>
        <w:tblW w:w="97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9758"/>
        <w:tblGridChange w:id="0">
          <w:tblGrid>
            <w:gridCol w:w="9758"/>
          </w:tblGrid>
        </w:tblGridChange>
      </w:tblGrid>
      <w:tr>
        <w:trPr>
          <w:cantSplit w:val="0"/>
          <w:trHeight w:val="227" w:hRule="atLeast"/>
          <w:tblHeader w:val="0"/>
        </w:trPr>
        <w:tc>
          <w:tcPr>
            <w:vAlign w:val="center"/>
          </w:tcPr>
          <w:p w:rsidR="00000000" w:rsidDel="00000000" w:rsidP="00000000" w:rsidRDefault="00000000" w:rsidRPr="00000000" w14:paraId="0000020D">
            <w:pPr>
              <w:spacing w:after="0" w:lineRule="auto"/>
              <w:rPr/>
            </w:pPr>
            <w:r w:rsidDel="00000000" w:rsidR="00000000" w:rsidRPr="00000000">
              <w:rPr>
                <w:rtl w:val="0"/>
              </w:rPr>
              <w:t xml:space="preserve">Affichage et communication</w:t>
            </w:r>
          </w:p>
        </w:tc>
      </w:tr>
      <w:tr>
        <w:trPr>
          <w:cantSplit w:val="0"/>
          <w:trHeight w:val="145" w:hRule="atLeast"/>
          <w:tblHeader w:val="0"/>
        </w:trPr>
        <w:tc>
          <w:tcPr>
            <w:vAlign w:val="center"/>
          </w:tcPr>
          <w:p w:rsidR="00000000" w:rsidDel="00000000" w:rsidP="00000000" w:rsidRDefault="00000000" w:rsidRPr="00000000" w14:paraId="0000020E">
            <w:pPr>
              <w:spacing w:after="0" w:lineRule="auto"/>
              <w:rPr>
                <w:b w:val="0"/>
              </w:rPr>
            </w:pPr>
            <w:r w:rsidDel="00000000" w:rsidR="00000000" w:rsidRPr="00000000">
              <w:rPr>
                <w:b w:val="0"/>
                <w:rtl w:val="0"/>
              </w:rPr>
              <w:t xml:space="preserve">Avoir un affichage de labels précis et facile à comprendre</w:t>
            </w:r>
          </w:p>
        </w:tc>
      </w:tr>
      <w:tr>
        <w:trPr>
          <w:cantSplit w:val="0"/>
          <w:trHeight w:val="145" w:hRule="atLeast"/>
          <w:tblHeader w:val="0"/>
        </w:trPr>
        <w:tc>
          <w:tcPr>
            <w:vAlign w:val="center"/>
          </w:tcPr>
          <w:p w:rsidR="00000000" w:rsidDel="00000000" w:rsidP="00000000" w:rsidRDefault="00000000" w:rsidRPr="00000000" w14:paraId="0000020F">
            <w:pPr>
              <w:spacing w:after="0" w:lineRule="auto"/>
              <w:rPr>
                <w:b w:val="0"/>
              </w:rPr>
            </w:pPr>
            <w:r w:rsidDel="00000000" w:rsidR="00000000" w:rsidRPr="00000000">
              <w:rPr>
                <w:b w:val="0"/>
                <w:rtl w:val="0"/>
              </w:rPr>
              <w:t xml:space="preserve">Concevoir une communication simple et innovante pour renseigner sur les ingrédients, leur origine, leur valeur nutritionnelle, et la présence d’allergènes ainsi que l’impact environnemental </w:t>
            </w:r>
          </w:p>
        </w:tc>
      </w:tr>
      <w:tr>
        <w:trPr>
          <w:cantSplit w:val="0"/>
          <w:trHeight w:val="145" w:hRule="atLeast"/>
          <w:tblHeader w:val="0"/>
        </w:trPr>
        <w:tc>
          <w:tcPr>
            <w:vAlign w:val="center"/>
          </w:tcPr>
          <w:p w:rsidR="00000000" w:rsidDel="00000000" w:rsidP="00000000" w:rsidRDefault="00000000" w:rsidRPr="00000000" w14:paraId="00000210">
            <w:pPr>
              <w:spacing w:after="0" w:lineRule="auto"/>
              <w:rPr>
                <w:b w:val="0"/>
              </w:rPr>
            </w:pPr>
            <w:r w:rsidDel="00000000" w:rsidR="00000000" w:rsidRPr="00000000">
              <w:rPr>
                <w:b w:val="0"/>
                <w:rtl w:val="0"/>
              </w:rPr>
              <w:t xml:space="preserve">Appliquer les règles de protection des engagements partenariaux de Paris 2024 et respecter la Charte Graphique de Paris 2024 (annexe H)</w:t>
            </w:r>
          </w:p>
        </w:tc>
      </w:tr>
    </w:tbl>
    <w:p w:rsidR="00000000" w:rsidDel="00000000" w:rsidP="00000000" w:rsidRDefault="00000000" w:rsidRPr="00000000" w14:paraId="00000211">
      <w:pPr>
        <w:pStyle w:val="Heading2"/>
        <w:rPr/>
      </w:pPr>
      <w:bookmarkStart w:colFirst="0" w:colLast="0" w:name="_heading=h.3tbugp1" w:id="45"/>
      <w:bookmarkEnd w:id="45"/>
      <w:r w:rsidDel="00000000" w:rsidR="00000000" w:rsidRPr="00000000">
        <w:rPr>
          <w:rtl w:val="0"/>
        </w:rPr>
        <w:t xml:space="preserve">4.6 Le personnel et les uniformes </w:t>
      </w:r>
    </w:p>
    <w:tbl>
      <w:tblPr>
        <w:tblStyle w:val="Table7"/>
        <w:tblW w:w="97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9728"/>
        <w:tblGridChange w:id="0">
          <w:tblGrid>
            <w:gridCol w:w="9728"/>
          </w:tblGrid>
        </w:tblGridChange>
      </w:tblGrid>
      <w:tr>
        <w:trPr>
          <w:cantSplit w:val="0"/>
          <w:trHeight w:val="298" w:hRule="atLeast"/>
          <w:tblHeader w:val="0"/>
        </w:trPr>
        <w:tc>
          <w:tcPr>
            <w:vAlign w:val="center"/>
          </w:tcPr>
          <w:p w:rsidR="00000000" w:rsidDel="00000000" w:rsidP="00000000" w:rsidRDefault="00000000" w:rsidRPr="00000000" w14:paraId="00000212">
            <w:pPr>
              <w:spacing w:after="0" w:lineRule="auto"/>
              <w:rPr/>
            </w:pPr>
            <w:r w:rsidDel="00000000" w:rsidR="00000000" w:rsidRPr="00000000">
              <w:rPr>
                <w:rtl w:val="0"/>
              </w:rPr>
              <w:t xml:space="preserve">Personnel &amp; uniformes</w:t>
            </w:r>
          </w:p>
        </w:tc>
      </w:tr>
      <w:tr>
        <w:trPr>
          <w:cantSplit w:val="0"/>
          <w:trHeight w:val="179" w:hRule="atLeast"/>
          <w:tblHeader w:val="0"/>
        </w:trPr>
        <w:tc>
          <w:tcPr>
            <w:vAlign w:val="center"/>
          </w:tcPr>
          <w:p w:rsidR="00000000" w:rsidDel="00000000" w:rsidP="00000000" w:rsidRDefault="00000000" w:rsidRPr="00000000" w14:paraId="00000213">
            <w:pPr>
              <w:spacing w:after="0" w:lineRule="auto"/>
              <w:rPr>
                <w:b w:val="0"/>
              </w:rPr>
            </w:pPr>
            <w:r w:rsidDel="00000000" w:rsidR="00000000" w:rsidRPr="00000000">
              <w:rPr>
                <w:b w:val="0"/>
                <w:rtl w:val="0"/>
              </w:rPr>
              <w:t xml:space="preserve">Recruter et former l’ensemble du staff intervenant dans le cadre des programmes de Catering </w:t>
            </w:r>
          </w:p>
        </w:tc>
      </w:tr>
      <w:tr>
        <w:trPr>
          <w:cantSplit w:val="0"/>
          <w:trHeight w:val="179" w:hRule="atLeast"/>
          <w:tblHeader w:val="0"/>
        </w:trPr>
        <w:tc>
          <w:tcPr>
            <w:vAlign w:val="center"/>
          </w:tcPr>
          <w:p w:rsidR="00000000" w:rsidDel="00000000" w:rsidP="00000000" w:rsidRDefault="00000000" w:rsidRPr="00000000" w14:paraId="00000214">
            <w:pPr>
              <w:spacing w:after="0" w:lineRule="auto"/>
              <w:rPr>
                <w:b w:val="0"/>
              </w:rPr>
            </w:pPr>
            <w:r w:rsidDel="00000000" w:rsidR="00000000" w:rsidRPr="00000000">
              <w:rPr>
                <w:b w:val="0"/>
                <w:rtl w:val="0"/>
              </w:rPr>
              <w:t xml:space="preserve">Prévoir suffisamment de personnel et anticiper d’éventuels désistements</w:t>
            </w:r>
          </w:p>
        </w:tc>
      </w:tr>
      <w:tr>
        <w:trPr>
          <w:cantSplit w:val="0"/>
          <w:trHeight w:val="190" w:hRule="atLeast"/>
          <w:tblHeader w:val="0"/>
        </w:trPr>
        <w:tc>
          <w:tcPr>
            <w:vAlign w:val="center"/>
          </w:tcPr>
          <w:p w:rsidR="00000000" w:rsidDel="00000000" w:rsidP="00000000" w:rsidRDefault="00000000" w:rsidRPr="00000000" w14:paraId="00000215">
            <w:pPr>
              <w:spacing w:after="0" w:lineRule="auto"/>
              <w:rPr>
                <w:b w:val="0"/>
              </w:rPr>
            </w:pPr>
            <w:r w:rsidDel="00000000" w:rsidR="00000000" w:rsidRPr="00000000">
              <w:rPr>
                <w:b w:val="0"/>
                <w:rtl w:val="0"/>
              </w:rPr>
              <w:t xml:space="preserve">Définir clairement les rôles du personnel et veiller à leur déploiement efficace</w:t>
            </w:r>
          </w:p>
        </w:tc>
      </w:tr>
      <w:tr>
        <w:trPr>
          <w:cantSplit w:val="0"/>
          <w:trHeight w:val="190" w:hRule="atLeast"/>
          <w:tblHeader w:val="0"/>
        </w:trPr>
        <w:tc>
          <w:tcPr>
            <w:vAlign w:val="center"/>
          </w:tcPr>
          <w:p w:rsidR="00000000" w:rsidDel="00000000" w:rsidP="00000000" w:rsidRDefault="00000000" w:rsidRPr="00000000" w14:paraId="00000216">
            <w:pPr>
              <w:spacing w:after="0" w:lineRule="auto"/>
              <w:rPr>
                <w:b w:val="0"/>
              </w:rPr>
            </w:pPr>
            <w:r w:rsidDel="00000000" w:rsidR="00000000" w:rsidRPr="00000000">
              <w:rPr>
                <w:b w:val="0"/>
                <w:rtl w:val="0"/>
              </w:rPr>
              <w:t xml:space="preserve">Prévoir un programme d’insertion et privilégier un recrutement local du personnel</w:t>
            </w:r>
          </w:p>
        </w:tc>
      </w:tr>
      <w:tr>
        <w:trPr>
          <w:cantSplit w:val="0"/>
          <w:trHeight w:val="190" w:hRule="atLeast"/>
          <w:tblHeader w:val="0"/>
        </w:trPr>
        <w:tc>
          <w:tcPr>
            <w:vAlign w:val="center"/>
          </w:tcPr>
          <w:p w:rsidR="00000000" w:rsidDel="00000000" w:rsidP="00000000" w:rsidRDefault="00000000" w:rsidRPr="00000000" w14:paraId="00000217">
            <w:pPr>
              <w:spacing w:after="0" w:lineRule="auto"/>
              <w:rPr>
                <w:b w:val="0"/>
              </w:rPr>
            </w:pPr>
            <w:r w:rsidDel="00000000" w:rsidR="00000000" w:rsidRPr="00000000">
              <w:rPr>
                <w:b w:val="0"/>
                <w:rtl w:val="0"/>
              </w:rPr>
              <w:t xml:space="preserve">Equiper tout personnel avec des tenues de travail neuves et facilement identifiables qui devront être validées par Paris 2024 dans un souci d’uniformité du personnel FNB</w:t>
            </w:r>
          </w:p>
        </w:tc>
      </w:tr>
      <w:tr>
        <w:trPr>
          <w:cantSplit w:val="0"/>
          <w:trHeight w:val="190" w:hRule="atLeast"/>
          <w:tblHeader w:val="0"/>
        </w:trPr>
        <w:tc>
          <w:tcPr>
            <w:vAlign w:val="center"/>
          </w:tcPr>
          <w:p w:rsidR="00000000" w:rsidDel="00000000" w:rsidP="00000000" w:rsidRDefault="00000000" w:rsidRPr="00000000" w14:paraId="00000218">
            <w:pPr>
              <w:spacing w:after="0" w:lineRule="auto"/>
              <w:rPr>
                <w:b w:val="0"/>
              </w:rPr>
            </w:pPr>
            <w:r w:rsidDel="00000000" w:rsidR="00000000" w:rsidRPr="00000000">
              <w:rPr>
                <w:b w:val="0"/>
                <w:rtl w:val="0"/>
              </w:rPr>
              <w:t xml:space="preserve">Intégrer le personnel dans l’ensemble des modules de formation de Paris 2024 (via l’Académie)</w:t>
            </w:r>
          </w:p>
        </w:tc>
      </w:tr>
    </w:tbl>
    <w:p w:rsidR="00000000" w:rsidDel="00000000" w:rsidP="00000000" w:rsidRDefault="00000000" w:rsidRPr="00000000" w14:paraId="00000219">
      <w:pPr>
        <w:pStyle w:val="Heading1"/>
        <w:spacing w:after="0" w:lineRule="auto"/>
        <w:rPr/>
      </w:pPr>
      <w:r w:rsidDel="00000000" w:rsidR="00000000" w:rsidRPr="00000000">
        <w:rPr>
          <w:rtl w:val="0"/>
        </w:rPr>
      </w:r>
    </w:p>
    <w:p w:rsidR="00000000" w:rsidDel="00000000" w:rsidP="00000000" w:rsidRDefault="00000000" w:rsidRPr="00000000" w14:paraId="0000021A">
      <w:pPr>
        <w:pStyle w:val="Heading1"/>
        <w:spacing w:before="0" w:lineRule="auto"/>
        <w:rPr/>
      </w:pPr>
      <w:bookmarkStart w:colFirst="0" w:colLast="0" w:name="_heading=h.28h4qwu" w:id="46"/>
      <w:bookmarkEnd w:id="46"/>
      <w:r w:rsidDel="00000000" w:rsidR="00000000" w:rsidRPr="00000000">
        <w:rPr>
          <w:rtl w:val="0"/>
        </w:rPr>
        <w:t xml:space="preserve">5. Les exigences liées aux programmes</w:t>
      </w:r>
    </w:p>
    <w:p w:rsidR="00000000" w:rsidDel="00000000" w:rsidP="00000000" w:rsidRDefault="00000000" w:rsidRPr="00000000" w14:paraId="0000021B">
      <w:pPr>
        <w:pStyle w:val="Heading2"/>
        <w:rPr/>
      </w:pPr>
      <w:bookmarkStart w:colFirst="0" w:colLast="0" w:name="_heading=h.nmf14n" w:id="47"/>
      <w:bookmarkEnd w:id="47"/>
      <w:r w:rsidDel="00000000" w:rsidR="00000000" w:rsidRPr="00000000">
        <w:rPr>
          <w:rtl w:val="0"/>
        </w:rPr>
        <w:t xml:space="preserve">5.1 Les exigences de conception</w:t>
      </w:r>
    </w:p>
    <w:p w:rsidR="00000000" w:rsidDel="00000000" w:rsidP="00000000" w:rsidRDefault="00000000" w:rsidRPr="00000000" w14:paraId="0000021C">
      <w:pPr>
        <w:rPr/>
      </w:pPr>
      <w:r w:rsidDel="00000000" w:rsidR="00000000" w:rsidRPr="00000000">
        <w:rPr>
          <w:rtl w:val="0"/>
        </w:rPr>
        <w:t xml:space="preserve">Les informations suivantes sont fournies afin de décrire les problématiques de conception et de rendre compréhensibles les exigences relatives aux travaux de génie civil et aux services publics prévus :  </w:t>
      </w:r>
    </w:p>
    <w:p w:rsidR="00000000" w:rsidDel="00000000" w:rsidP="00000000" w:rsidRDefault="00000000" w:rsidRPr="00000000" w14:paraId="000002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espaces de restauration doivent être totalement accessibles pour les PSH et répondre aux principes d’accessibilité universelle (voir l’Annexe K « Spécifications pour accessibilité ») </w:t>
      </w:r>
    </w:p>
    <w:p w:rsidR="00000000" w:rsidDel="00000000" w:rsidP="00000000" w:rsidRDefault="00000000" w:rsidRPr="00000000" w14:paraId="000002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systèmes d’extraction d’air des infrastructures doivent être conformes aux codes de la construction et aux exigences réglementaires en vigueur</w:t>
      </w:r>
    </w:p>
    <w:p w:rsidR="00000000" w:rsidDel="00000000" w:rsidP="00000000" w:rsidRDefault="00000000" w:rsidRPr="00000000" w14:paraId="000002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212121"/>
          <w:sz w:val="21"/>
          <w:szCs w:val="21"/>
          <w:u w:val="none"/>
          <w:shd w:fill="auto" w:val="clear"/>
          <w:vertAlign w:val="baseline"/>
          <w:rtl w:val="0"/>
        </w:rPr>
        <w:t xml:space="preserve">Des systèmes d’alerte et d’intervention d’urgence en cas d’incendie sont nécessaires et peuvent associer détection de fumée, suppression des incendies et alarmes incendie</w:t>
      </w:r>
      <w:r w:rsidDel="00000000" w:rsidR="00000000" w:rsidRPr="00000000">
        <w:rPr>
          <w:rtl w:val="0"/>
        </w:rPr>
      </w:r>
    </w:p>
    <w:p w:rsidR="00000000" w:rsidDel="00000000" w:rsidP="00000000" w:rsidRDefault="00000000" w:rsidRPr="00000000" w14:paraId="000002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espaces de circulation du personnel et les zones de chargement/déchargement doivent être situés dans la zone opérationnelle des restaurants </w:t>
      </w:r>
    </w:p>
    <w:p w:rsidR="00000000" w:rsidDel="00000000" w:rsidP="00000000" w:rsidRDefault="00000000" w:rsidRPr="00000000" w14:paraId="00000221">
      <w:pPr>
        <w:pStyle w:val="Heading2"/>
        <w:rPr/>
      </w:pPr>
      <w:bookmarkStart w:colFirst="0" w:colLast="0" w:name="_heading=h.37m2jsg" w:id="48"/>
      <w:bookmarkEnd w:id="48"/>
      <w:r w:rsidDel="00000000" w:rsidR="00000000" w:rsidRPr="00000000">
        <w:rPr>
          <w:rtl w:val="0"/>
        </w:rPr>
        <w:t xml:space="preserve">5.2 L’électricité</w:t>
      </w:r>
    </w:p>
    <w:p w:rsidR="00000000" w:rsidDel="00000000" w:rsidP="00000000" w:rsidRDefault="00000000" w:rsidRPr="00000000" w14:paraId="00000222">
      <w:pPr>
        <w:rPr/>
      </w:pPr>
      <w:r w:rsidDel="00000000" w:rsidR="00000000" w:rsidRPr="00000000">
        <w:rPr>
          <w:rtl w:val="0"/>
        </w:rPr>
        <w:t xml:space="preserve">Le principe fondamental requis par le CIO via le « Olympic Games Guide on Energy » est un approvisionnement énergétique sécuritaire, fiable et résilient. Ceci est nécessaire pour se protéger contre toute perturbation qui pourrait impacter négativement les opérations de l’IBC, dont la restauration.</w:t>
      </w:r>
    </w:p>
    <w:p w:rsidR="00000000" w:rsidDel="00000000" w:rsidP="00000000" w:rsidRDefault="00000000" w:rsidRPr="00000000" w14:paraId="00000223">
      <w:pPr>
        <w:rPr/>
      </w:pPr>
      <w:r w:rsidDel="00000000" w:rsidR="00000000" w:rsidRPr="00000000">
        <w:rPr>
          <w:rtl w:val="0"/>
        </w:rPr>
        <w:t xml:space="preserve">Paris 2024 fournira au Candidat retenu des points de raccordement à un réseau électrique existant ou temporaire redondé et issue à 100% de sources renouvelables (lorsque cela sera possible). </w:t>
      </w:r>
    </w:p>
    <w:p w:rsidR="00000000" w:rsidDel="00000000" w:rsidP="00000000" w:rsidRDefault="00000000" w:rsidRPr="00000000" w14:paraId="00000224">
      <w:pPr>
        <w:rPr/>
      </w:pPr>
      <w:r w:rsidDel="00000000" w:rsidR="00000000" w:rsidRPr="00000000">
        <w:rPr>
          <w:rtl w:val="0"/>
        </w:rPr>
        <w:t xml:space="preserve">Le Candidat retenu devra suivre les préconisations de Paris 2024 :</w:t>
      </w:r>
    </w:p>
    <w:p w:rsidR="00000000" w:rsidDel="00000000" w:rsidP="00000000" w:rsidRDefault="00000000" w:rsidRPr="00000000" w14:paraId="0000022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Réaliser une conception des installations et réseaux électriques temporaires dans l’infrastructure apportée respectant les normes et règlementations en vigueur, ainsi que les prescriptions et exigences de Paris 2024.</w:t>
      </w:r>
    </w:p>
    <w:p w:rsidR="00000000" w:rsidDel="00000000" w:rsidP="00000000" w:rsidRDefault="00000000" w:rsidRPr="00000000" w14:paraId="0000022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Définir et réserver les surfaces nécessaires à l’alimentation électrique des différentes fonctions de la restauration</w:t>
      </w:r>
    </w:p>
    <w:p w:rsidR="00000000" w:rsidDel="00000000" w:rsidP="00000000" w:rsidRDefault="00000000" w:rsidRPr="00000000" w14:paraId="0000022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Distribuer les énergies selon leur classification de sécurisation et criticité pour la continuité des opérations</w:t>
      </w:r>
    </w:p>
    <w:p w:rsidR="00000000" w:rsidDel="00000000" w:rsidP="00000000" w:rsidRDefault="00000000" w:rsidRPr="00000000" w14:paraId="0000022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Fiabiliser et optimiser les surfaces des installations avec : </w:t>
      </w:r>
    </w:p>
    <w:p w:rsidR="00000000" w:rsidDel="00000000" w:rsidP="00000000" w:rsidRDefault="00000000" w:rsidRPr="00000000" w14:paraId="0000022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Sécurité des équipements et des personnes</w:t>
      </w:r>
    </w:p>
    <w:p w:rsidR="00000000" w:rsidDel="00000000" w:rsidP="00000000" w:rsidRDefault="00000000" w:rsidRPr="00000000" w14:paraId="0000022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Redondance</w:t>
      </w:r>
    </w:p>
    <w:p w:rsidR="00000000" w:rsidDel="00000000" w:rsidP="00000000" w:rsidRDefault="00000000" w:rsidRPr="00000000" w14:paraId="0000022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Accessibilité</w:t>
      </w:r>
    </w:p>
    <w:p w:rsidR="00000000" w:rsidDel="00000000" w:rsidP="00000000" w:rsidRDefault="00000000" w:rsidRPr="00000000" w14:paraId="0000022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Maintenabilité</w:t>
      </w:r>
    </w:p>
    <w:p w:rsidR="00000000" w:rsidDel="00000000" w:rsidP="00000000" w:rsidRDefault="00000000" w:rsidRPr="00000000" w14:paraId="0000022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Stratégie d’approche :</w:t>
      </w:r>
    </w:p>
    <w:p w:rsidR="00000000" w:rsidDel="00000000" w:rsidP="00000000" w:rsidRDefault="00000000" w:rsidRPr="00000000" w14:paraId="0000022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Décentralisée et distribuée</w:t>
      </w:r>
    </w:p>
    <w:p w:rsidR="00000000" w:rsidDel="00000000" w:rsidP="00000000" w:rsidRDefault="00000000" w:rsidRPr="00000000" w14:paraId="0000022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Modulaire et évolutive</w:t>
      </w:r>
    </w:p>
    <w:p w:rsidR="00000000" w:rsidDel="00000000" w:rsidP="00000000" w:rsidRDefault="00000000" w:rsidRPr="00000000" w14:paraId="0000023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Mobile et malléable</w:t>
      </w:r>
    </w:p>
    <w:p w:rsidR="00000000" w:rsidDel="00000000" w:rsidP="00000000" w:rsidRDefault="00000000" w:rsidRPr="00000000" w14:paraId="0000023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0" w:line="288" w:lineRule="auto"/>
        <w:ind w:left="144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Optimisée en puissance (kW) et proportionnée en surface (m²)</w:t>
      </w:r>
    </w:p>
    <w:p w:rsidR="00000000" w:rsidDel="00000000" w:rsidP="00000000" w:rsidRDefault="00000000" w:rsidRPr="00000000" w14:paraId="00000232">
      <w:pPr>
        <w:rPr>
          <w:color w:val="000000"/>
        </w:rPr>
      </w:pPr>
      <w:r w:rsidDel="00000000" w:rsidR="00000000" w:rsidRPr="00000000">
        <w:rPr>
          <w:color w:val="000000"/>
          <w:rtl w:val="0"/>
        </w:rPr>
        <w:t xml:space="preserve">Le Candidat devra fournir les pièces suivantes pour approbation par Paris 2024 :</w:t>
      </w:r>
    </w:p>
    <w:p w:rsidR="00000000" w:rsidDel="00000000" w:rsidP="00000000" w:rsidRDefault="00000000" w:rsidRPr="00000000" w14:paraId="0000023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 de localisation des équipements </w:t>
      </w:r>
    </w:p>
    <w:p w:rsidR="00000000" w:rsidDel="00000000" w:rsidP="00000000" w:rsidRDefault="00000000" w:rsidRPr="00000000" w14:paraId="0000023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 de localisation des points de raccordement électrique </w:t>
      </w:r>
    </w:p>
    <w:p w:rsidR="00000000" w:rsidDel="00000000" w:rsidP="00000000" w:rsidRDefault="00000000" w:rsidRPr="00000000" w14:paraId="0000023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Bilan de puissance détaillé (format Excel), comprenant une liste des équipements électriques avec leur spécifications techniques</w:t>
      </w:r>
    </w:p>
    <w:p w:rsidR="00000000" w:rsidDel="00000000" w:rsidP="00000000" w:rsidRDefault="00000000" w:rsidRPr="00000000" w14:paraId="0000023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Planning détaillé des travaux de mobilisation et démobilisation </w:t>
      </w:r>
    </w:p>
    <w:p w:rsidR="00000000" w:rsidDel="00000000" w:rsidP="00000000" w:rsidRDefault="00000000" w:rsidRPr="00000000" w14:paraId="0000023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Programme d’exploitation, maintenance et astreinte technique </w:t>
      </w:r>
    </w:p>
    <w:p w:rsidR="00000000" w:rsidDel="00000000" w:rsidP="00000000" w:rsidRDefault="00000000" w:rsidRPr="00000000" w14:paraId="00000238">
      <w:pPr>
        <w:rPr>
          <w:rFonts w:ascii="Quattrocento Sans" w:cs="Quattrocento Sans" w:eastAsia="Quattrocento Sans" w:hAnsi="Quattrocento Sans"/>
          <w:sz w:val="18"/>
          <w:szCs w:val="18"/>
        </w:rPr>
      </w:pPr>
      <w:r w:rsidDel="00000000" w:rsidR="00000000" w:rsidRPr="00000000">
        <w:rPr>
          <w:rtl w:val="0"/>
        </w:rPr>
        <w:t xml:space="preserve">Il est attendu que le Candidat retenu utilisera des équipements de haute efficacité énergétique. Ils devront impérativement être sécuritaires pour les usagers et aux spectateurs de la Cérémonie. Paris 2024 se réserve le droit d’exiger le remplacement de tout équipement ne satisfaisant pas les critères mentionnés précédemment. </w:t>
      </w: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Une consommation électrique plafond sera négociée entre le Candidat et Paris 2024 afin d’assurer des réserves de puissance suffisantes pour les autres activités du site et de promouvoir la sobriété énergétique. Des pénalités seront prévues en cas de dépassement.     </w:t>
      </w:r>
    </w:p>
    <w:p w:rsidR="00000000" w:rsidDel="00000000" w:rsidP="00000000" w:rsidRDefault="00000000" w:rsidRPr="00000000" w14:paraId="0000023A">
      <w:pPr>
        <w:pStyle w:val="Heading2"/>
        <w:rPr>
          <w:highlight w:val="yellow"/>
        </w:rPr>
      </w:pPr>
      <w:bookmarkStart w:colFirst="0" w:colLast="0" w:name="_heading=h.1mrcu09" w:id="49"/>
      <w:bookmarkEnd w:id="49"/>
      <w:r w:rsidDel="00000000" w:rsidR="00000000" w:rsidRPr="00000000">
        <w:rPr>
          <w:rtl w:val="0"/>
        </w:rPr>
        <w:t xml:space="preserve">5.3 La validation des menus et des prix de vente</w:t>
      </w: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Les étapes clé de la validation des menus et des prix de vente pour les programmes de restauration pour la Cérémonie d’Ouverture sont comme indiquées ci-après (calendrier à titre indicatif) :</w:t>
      </w:r>
    </w:p>
    <w:tbl>
      <w:tblPr>
        <w:tblStyle w:val="Table8"/>
        <w:tblW w:w="977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413"/>
        <w:gridCol w:w="6237"/>
        <w:gridCol w:w="1134"/>
        <w:gridCol w:w="992"/>
        <w:tblGridChange w:id="0">
          <w:tblGrid>
            <w:gridCol w:w="1413"/>
            <w:gridCol w:w="6237"/>
            <w:gridCol w:w="1134"/>
            <w:gridCol w:w="992"/>
          </w:tblGrid>
        </w:tblGridChange>
      </w:tblGrid>
      <w:tr>
        <w:trPr>
          <w:cantSplit w:val="0"/>
          <w:trHeight w:val="262" w:hRule="atLeast"/>
          <w:tblHeader w:val="0"/>
        </w:trPr>
        <w:tc>
          <w:tcPr>
            <w:vAlign w:val="center"/>
          </w:tcPr>
          <w:p w:rsidR="00000000" w:rsidDel="00000000" w:rsidP="00000000" w:rsidRDefault="00000000" w:rsidRPr="00000000" w14:paraId="0000023C">
            <w:pPr>
              <w:spacing w:after="0" w:lineRule="auto"/>
              <w:rPr/>
            </w:pPr>
            <w:r w:rsidDel="00000000" w:rsidR="00000000" w:rsidRPr="00000000">
              <w:rPr>
                <w:rtl w:val="0"/>
              </w:rPr>
              <w:t xml:space="preserve">Dates</w:t>
            </w:r>
          </w:p>
        </w:tc>
        <w:tc>
          <w:tcPr>
            <w:vAlign w:val="center"/>
          </w:tcPr>
          <w:p w:rsidR="00000000" w:rsidDel="00000000" w:rsidP="00000000" w:rsidRDefault="00000000" w:rsidRPr="00000000" w14:paraId="0000023D">
            <w:pPr>
              <w:spacing w:after="0" w:lineRule="auto"/>
              <w:rPr/>
            </w:pPr>
            <w:r w:rsidDel="00000000" w:rsidR="00000000" w:rsidRPr="00000000">
              <w:rPr>
                <w:rtl w:val="0"/>
              </w:rPr>
              <w:t xml:space="preserve">Mission</w:t>
            </w:r>
          </w:p>
        </w:tc>
        <w:tc>
          <w:tcPr>
            <w:vAlign w:val="center"/>
          </w:tcPr>
          <w:p w:rsidR="00000000" w:rsidDel="00000000" w:rsidP="00000000" w:rsidRDefault="00000000" w:rsidRPr="00000000" w14:paraId="0000023E">
            <w:pPr>
              <w:spacing w:after="0" w:lineRule="auto"/>
              <w:jc w:val="center"/>
              <w:rPr/>
            </w:pPr>
            <w:r w:rsidDel="00000000" w:rsidR="00000000" w:rsidRPr="00000000">
              <w:rPr>
                <w:rtl w:val="0"/>
              </w:rPr>
              <w:t xml:space="preserve">Candidat retenu</w:t>
            </w:r>
          </w:p>
        </w:tc>
        <w:tc>
          <w:tcPr>
            <w:vAlign w:val="center"/>
          </w:tcPr>
          <w:p w:rsidR="00000000" w:rsidDel="00000000" w:rsidP="00000000" w:rsidRDefault="00000000" w:rsidRPr="00000000" w14:paraId="0000023F">
            <w:pPr>
              <w:spacing w:after="0" w:lineRule="auto"/>
              <w:jc w:val="center"/>
              <w:rPr/>
            </w:pPr>
            <w:r w:rsidDel="00000000" w:rsidR="00000000" w:rsidRPr="00000000">
              <w:rPr>
                <w:rtl w:val="0"/>
              </w:rPr>
              <w:t xml:space="preserve">Paris 2024</w:t>
            </w:r>
          </w:p>
        </w:tc>
      </w:tr>
      <w:tr>
        <w:trPr>
          <w:cantSplit w:val="0"/>
          <w:trHeight w:val="576" w:hRule="atLeast"/>
          <w:tblHeader w:val="0"/>
        </w:trPr>
        <w:tc>
          <w:tcPr>
            <w:vAlign w:val="center"/>
          </w:tcPr>
          <w:p w:rsidR="00000000" w:rsidDel="00000000" w:rsidP="00000000" w:rsidRDefault="00000000" w:rsidRPr="00000000" w14:paraId="00000240">
            <w:pPr>
              <w:spacing w:after="0" w:lineRule="auto"/>
              <w:rPr>
                <w:b w:val="0"/>
              </w:rPr>
            </w:pPr>
            <w:r w:rsidDel="00000000" w:rsidR="00000000" w:rsidRPr="00000000">
              <w:rPr>
                <w:b w:val="0"/>
                <w:rtl w:val="0"/>
              </w:rPr>
              <w:t xml:space="preserve">T4 2023</w:t>
            </w:r>
          </w:p>
        </w:tc>
        <w:tc>
          <w:tcPr>
            <w:vAlign w:val="center"/>
          </w:tcPr>
          <w:p w:rsidR="00000000" w:rsidDel="00000000" w:rsidP="00000000" w:rsidRDefault="00000000" w:rsidRPr="00000000" w14:paraId="00000241">
            <w:pPr>
              <w:spacing w:after="0" w:lineRule="auto"/>
              <w:rPr/>
            </w:pPr>
            <w:r w:rsidDel="00000000" w:rsidR="00000000" w:rsidRPr="00000000">
              <w:rPr>
                <w:rtl w:val="0"/>
              </w:rPr>
              <w:t xml:space="preserve">Elaboration du plan des menus, composition des recettes, informations nutritionnelles et allergènes </w:t>
            </w:r>
          </w:p>
        </w:tc>
        <w:tc>
          <w:tcPr>
            <w:vAlign w:val="center"/>
          </w:tcPr>
          <w:p w:rsidR="00000000" w:rsidDel="00000000" w:rsidP="00000000" w:rsidRDefault="00000000" w:rsidRPr="00000000" w14:paraId="00000242">
            <w:pPr>
              <w:spacing w:after="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243">
            <w:pPr>
              <w:spacing w:after="0" w:lineRule="auto"/>
              <w:jc w:val="center"/>
              <w:rPr/>
            </w:pPr>
            <w:r w:rsidDel="00000000" w:rsidR="00000000" w:rsidRPr="00000000">
              <w:rPr>
                <w:rtl w:val="0"/>
              </w:rPr>
            </w:r>
          </w:p>
        </w:tc>
      </w:tr>
      <w:tr>
        <w:trPr>
          <w:cantSplit w:val="0"/>
          <w:trHeight w:val="262" w:hRule="atLeast"/>
          <w:tblHeader w:val="0"/>
        </w:trPr>
        <w:tc>
          <w:tcPr>
            <w:vAlign w:val="center"/>
          </w:tcPr>
          <w:p w:rsidR="00000000" w:rsidDel="00000000" w:rsidP="00000000" w:rsidRDefault="00000000" w:rsidRPr="00000000" w14:paraId="00000244">
            <w:pPr>
              <w:spacing w:after="0" w:lineRule="auto"/>
              <w:rPr>
                <w:b w:val="0"/>
              </w:rPr>
            </w:pPr>
            <w:r w:rsidDel="00000000" w:rsidR="00000000" w:rsidRPr="00000000">
              <w:rPr>
                <w:b w:val="0"/>
                <w:rtl w:val="0"/>
              </w:rPr>
              <w:t xml:space="preserve">T4 2023</w:t>
            </w:r>
          </w:p>
        </w:tc>
        <w:tc>
          <w:tcPr>
            <w:vAlign w:val="center"/>
          </w:tcPr>
          <w:p w:rsidR="00000000" w:rsidDel="00000000" w:rsidP="00000000" w:rsidRDefault="00000000" w:rsidRPr="00000000" w14:paraId="00000245">
            <w:pPr>
              <w:spacing w:after="0" w:lineRule="auto"/>
              <w:rPr/>
            </w:pPr>
            <w:r w:rsidDel="00000000" w:rsidR="00000000" w:rsidRPr="00000000">
              <w:rPr>
                <w:rtl w:val="0"/>
              </w:rPr>
              <w:t xml:space="preserve">Soumission des éléments à Paris 2024 </w:t>
            </w:r>
          </w:p>
        </w:tc>
        <w:tc>
          <w:tcPr>
            <w:vAlign w:val="center"/>
          </w:tcPr>
          <w:p w:rsidR="00000000" w:rsidDel="00000000" w:rsidP="00000000" w:rsidRDefault="00000000" w:rsidRPr="00000000" w14:paraId="00000246">
            <w:pPr>
              <w:spacing w:after="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247">
            <w:pPr>
              <w:spacing w:after="0" w:lineRule="auto"/>
              <w:jc w:val="center"/>
              <w:rPr/>
            </w:pPr>
            <w:r w:rsidDel="00000000" w:rsidR="00000000" w:rsidRPr="00000000">
              <w:rPr>
                <w:rtl w:val="0"/>
              </w:rPr>
            </w:r>
          </w:p>
        </w:tc>
      </w:tr>
      <w:tr>
        <w:trPr>
          <w:cantSplit w:val="0"/>
          <w:trHeight w:val="153" w:hRule="atLeast"/>
          <w:tblHeader w:val="0"/>
        </w:trPr>
        <w:tc>
          <w:tcPr>
            <w:vAlign w:val="center"/>
          </w:tcPr>
          <w:p w:rsidR="00000000" w:rsidDel="00000000" w:rsidP="00000000" w:rsidRDefault="00000000" w:rsidRPr="00000000" w14:paraId="00000248">
            <w:pPr>
              <w:spacing w:after="0" w:lineRule="auto"/>
              <w:rPr>
                <w:b w:val="0"/>
              </w:rPr>
            </w:pPr>
            <w:r w:rsidDel="00000000" w:rsidR="00000000" w:rsidRPr="00000000">
              <w:rPr>
                <w:b w:val="0"/>
                <w:rtl w:val="0"/>
              </w:rPr>
              <w:t xml:space="preserve">T1 2023</w:t>
            </w:r>
          </w:p>
        </w:tc>
        <w:tc>
          <w:tcPr>
            <w:vAlign w:val="center"/>
          </w:tcPr>
          <w:p w:rsidR="00000000" w:rsidDel="00000000" w:rsidP="00000000" w:rsidRDefault="00000000" w:rsidRPr="00000000" w14:paraId="00000249">
            <w:pPr>
              <w:spacing w:after="0" w:lineRule="auto"/>
              <w:rPr/>
            </w:pPr>
            <w:r w:rsidDel="00000000" w:rsidR="00000000" w:rsidRPr="00000000">
              <w:rPr>
                <w:rtl w:val="0"/>
              </w:rPr>
              <w:t xml:space="preserve">Analyse de l’offre, demande d’ajustements transmise au Candidat retenu</w:t>
            </w:r>
          </w:p>
        </w:tc>
        <w:tc>
          <w:tcPr>
            <w:vAlign w:val="center"/>
          </w:tcPr>
          <w:p w:rsidR="00000000" w:rsidDel="00000000" w:rsidP="00000000" w:rsidRDefault="00000000" w:rsidRPr="00000000" w14:paraId="0000024A">
            <w:pPr>
              <w:spacing w:after="0" w:lineRule="auto"/>
              <w:jc w:val="center"/>
              <w:rPr/>
            </w:pPr>
            <w:r w:rsidDel="00000000" w:rsidR="00000000" w:rsidRPr="00000000">
              <w:rPr>
                <w:rtl w:val="0"/>
              </w:rPr>
            </w:r>
          </w:p>
        </w:tc>
        <w:tc>
          <w:tcPr>
            <w:vAlign w:val="center"/>
          </w:tcPr>
          <w:p w:rsidR="00000000" w:rsidDel="00000000" w:rsidP="00000000" w:rsidRDefault="00000000" w:rsidRPr="00000000" w14:paraId="0000024B">
            <w:pPr>
              <w:spacing w:after="0" w:lineRule="auto"/>
              <w:jc w:val="center"/>
              <w:rPr/>
            </w:pPr>
            <w:r w:rsidDel="00000000" w:rsidR="00000000" w:rsidRPr="00000000">
              <w:rPr>
                <w:rtl w:val="0"/>
              </w:rPr>
              <w:t xml:space="preserve">X</w:t>
            </w:r>
          </w:p>
        </w:tc>
      </w:tr>
      <w:tr>
        <w:trPr>
          <w:cantSplit w:val="0"/>
          <w:trHeight w:val="262" w:hRule="atLeast"/>
          <w:tblHeader w:val="0"/>
        </w:trPr>
        <w:tc>
          <w:tcPr>
            <w:vAlign w:val="center"/>
          </w:tcPr>
          <w:p w:rsidR="00000000" w:rsidDel="00000000" w:rsidP="00000000" w:rsidRDefault="00000000" w:rsidRPr="00000000" w14:paraId="0000024C">
            <w:pPr>
              <w:spacing w:after="0" w:lineRule="auto"/>
              <w:rPr>
                <w:b w:val="0"/>
                <w:color w:val="000000"/>
              </w:rPr>
            </w:pPr>
            <w:r w:rsidDel="00000000" w:rsidR="00000000" w:rsidRPr="00000000">
              <w:rPr>
                <w:b w:val="0"/>
                <w:rtl w:val="0"/>
              </w:rPr>
              <w:t xml:space="preserve">T1 2023</w:t>
            </w:r>
            <w:r w:rsidDel="00000000" w:rsidR="00000000" w:rsidRPr="00000000">
              <w:rPr>
                <w:rtl w:val="0"/>
              </w:rPr>
            </w:r>
          </w:p>
        </w:tc>
        <w:tc>
          <w:tcPr>
            <w:vAlign w:val="center"/>
          </w:tcPr>
          <w:p w:rsidR="00000000" w:rsidDel="00000000" w:rsidP="00000000" w:rsidRDefault="00000000" w:rsidRPr="00000000" w14:paraId="0000024D">
            <w:pPr>
              <w:spacing w:after="0" w:lineRule="auto"/>
              <w:rPr>
                <w:color w:val="000000"/>
              </w:rPr>
            </w:pPr>
            <w:r w:rsidDel="00000000" w:rsidR="00000000" w:rsidRPr="00000000">
              <w:rPr>
                <w:color w:val="000000"/>
                <w:rtl w:val="0"/>
              </w:rPr>
              <w:t xml:space="preserve">Soumission de l’offre ajustée</w:t>
            </w:r>
          </w:p>
        </w:tc>
        <w:tc>
          <w:tcPr>
            <w:vAlign w:val="center"/>
          </w:tcPr>
          <w:p w:rsidR="00000000" w:rsidDel="00000000" w:rsidP="00000000" w:rsidRDefault="00000000" w:rsidRPr="00000000" w14:paraId="0000024E">
            <w:pPr>
              <w:spacing w:after="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24F">
            <w:pPr>
              <w:spacing w:after="0" w:lineRule="auto"/>
              <w:jc w:val="center"/>
              <w:rPr/>
            </w:pPr>
            <w:r w:rsidDel="00000000" w:rsidR="00000000" w:rsidRPr="00000000">
              <w:rPr>
                <w:rtl w:val="0"/>
              </w:rPr>
            </w:r>
          </w:p>
        </w:tc>
      </w:tr>
      <w:tr>
        <w:trPr>
          <w:cantSplit w:val="0"/>
          <w:trHeight w:val="153" w:hRule="atLeast"/>
          <w:tblHeader w:val="0"/>
        </w:trPr>
        <w:tc>
          <w:tcPr>
            <w:vAlign w:val="center"/>
          </w:tcPr>
          <w:p w:rsidR="00000000" w:rsidDel="00000000" w:rsidP="00000000" w:rsidRDefault="00000000" w:rsidRPr="00000000" w14:paraId="00000250">
            <w:pPr>
              <w:spacing w:after="0" w:lineRule="auto"/>
              <w:rPr>
                <w:b w:val="0"/>
                <w:color w:val="000000"/>
              </w:rPr>
            </w:pPr>
            <w:r w:rsidDel="00000000" w:rsidR="00000000" w:rsidRPr="00000000">
              <w:rPr>
                <w:b w:val="0"/>
                <w:rtl w:val="0"/>
              </w:rPr>
              <w:t xml:space="preserve">T1 2023</w:t>
            </w:r>
            <w:r w:rsidDel="00000000" w:rsidR="00000000" w:rsidRPr="00000000">
              <w:rPr>
                <w:rtl w:val="0"/>
              </w:rPr>
            </w:r>
          </w:p>
        </w:tc>
        <w:tc>
          <w:tcPr>
            <w:vAlign w:val="center"/>
          </w:tcPr>
          <w:p w:rsidR="00000000" w:rsidDel="00000000" w:rsidP="00000000" w:rsidRDefault="00000000" w:rsidRPr="00000000" w14:paraId="00000251">
            <w:pPr>
              <w:spacing w:after="0" w:lineRule="auto"/>
              <w:rPr>
                <w:color w:val="000000"/>
              </w:rPr>
            </w:pPr>
            <w:r w:rsidDel="00000000" w:rsidR="00000000" w:rsidRPr="00000000">
              <w:rPr>
                <w:color w:val="000000"/>
                <w:rtl w:val="0"/>
              </w:rPr>
              <w:t xml:space="preserve">Révision et validation finale des menus</w:t>
            </w:r>
          </w:p>
        </w:tc>
        <w:tc>
          <w:tcPr>
            <w:vAlign w:val="center"/>
          </w:tcPr>
          <w:p w:rsidR="00000000" w:rsidDel="00000000" w:rsidP="00000000" w:rsidRDefault="00000000" w:rsidRPr="00000000" w14:paraId="00000252">
            <w:pPr>
              <w:spacing w:after="0" w:lineRule="auto"/>
              <w:jc w:val="center"/>
              <w:rPr/>
            </w:pPr>
            <w:r w:rsidDel="00000000" w:rsidR="00000000" w:rsidRPr="00000000">
              <w:rPr>
                <w:rtl w:val="0"/>
              </w:rPr>
            </w:r>
          </w:p>
        </w:tc>
        <w:tc>
          <w:tcPr>
            <w:vAlign w:val="center"/>
          </w:tcPr>
          <w:p w:rsidR="00000000" w:rsidDel="00000000" w:rsidP="00000000" w:rsidRDefault="00000000" w:rsidRPr="00000000" w14:paraId="00000253">
            <w:pPr>
              <w:spacing w:after="0" w:lineRule="auto"/>
              <w:jc w:val="center"/>
              <w:rPr/>
            </w:pPr>
            <w:r w:rsidDel="00000000" w:rsidR="00000000" w:rsidRPr="00000000">
              <w:rPr>
                <w:rtl w:val="0"/>
              </w:rPr>
              <w:t xml:space="preserve">X</w:t>
            </w:r>
          </w:p>
        </w:tc>
      </w:tr>
      <w:tr>
        <w:trPr>
          <w:cantSplit w:val="0"/>
          <w:trHeight w:val="153" w:hRule="atLeast"/>
          <w:tblHeader w:val="0"/>
        </w:trPr>
        <w:tc>
          <w:tcPr>
            <w:vAlign w:val="center"/>
          </w:tcPr>
          <w:p w:rsidR="00000000" w:rsidDel="00000000" w:rsidP="00000000" w:rsidRDefault="00000000" w:rsidRPr="00000000" w14:paraId="00000254">
            <w:pPr>
              <w:spacing w:after="0" w:lineRule="auto"/>
              <w:rPr>
                <w:b w:val="0"/>
                <w:color w:val="000000"/>
              </w:rPr>
            </w:pPr>
            <w:r w:rsidDel="00000000" w:rsidR="00000000" w:rsidRPr="00000000">
              <w:rPr>
                <w:b w:val="0"/>
                <w:rtl w:val="0"/>
              </w:rPr>
              <w:t xml:space="preserve">T1 2024</w:t>
            </w:r>
            <w:r w:rsidDel="00000000" w:rsidR="00000000" w:rsidRPr="00000000">
              <w:rPr>
                <w:rtl w:val="0"/>
              </w:rPr>
            </w:r>
          </w:p>
        </w:tc>
        <w:tc>
          <w:tcPr>
            <w:vAlign w:val="center"/>
          </w:tcPr>
          <w:p w:rsidR="00000000" w:rsidDel="00000000" w:rsidP="00000000" w:rsidRDefault="00000000" w:rsidRPr="00000000" w14:paraId="00000255">
            <w:pPr>
              <w:spacing w:after="0" w:lineRule="auto"/>
              <w:rPr>
                <w:color w:val="000000"/>
              </w:rPr>
            </w:pPr>
            <w:r w:rsidDel="00000000" w:rsidR="00000000" w:rsidRPr="00000000">
              <w:rPr>
                <w:color w:val="000000"/>
                <w:rtl w:val="0"/>
              </w:rPr>
              <w:t xml:space="preserve">Partage avec l’équipe CER/IOC</w:t>
            </w:r>
          </w:p>
        </w:tc>
        <w:tc>
          <w:tcPr>
            <w:vAlign w:val="center"/>
          </w:tcPr>
          <w:p w:rsidR="00000000" w:rsidDel="00000000" w:rsidP="00000000" w:rsidRDefault="00000000" w:rsidRPr="00000000" w14:paraId="00000256">
            <w:pPr>
              <w:spacing w:after="0" w:lineRule="auto"/>
              <w:jc w:val="center"/>
              <w:rPr/>
            </w:pPr>
            <w:r w:rsidDel="00000000" w:rsidR="00000000" w:rsidRPr="00000000">
              <w:rPr>
                <w:rtl w:val="0"/>
              </w:rPr>
            </w:r>
          </w:p>
        </w:tc>
        <w:tc>
          <w:tcPr>
            <w:vAlign w:val="center"/>
          </w:tcPr>
          <w:p w:rsidR="00000000" w:rsidDel="00000000" w:rsidP="00000000" w:rsidRDefault="00000000" w:rsidRPr="00000000" w14:paraId="00000257">
            <w:pPr>
              <w:spacing w:after="0" w:lineRule="auto"/>
              <w:jc w:val="center"/>
              <w:rPr/>
            </w:pPr>
            <w:r w:rsidDel="00000000" w:rsidR="00000000" w:rsidRPr="00000000">
              <w:rPr>
                <w:rtl w:val="0"/>
              </w:rPr>
              <w:t xml:space="preserve">X</w:t>
            </w:r>
          </w:p>
        </w:tc>
      </w:tr>
    </w:tbl>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Pendant la phase d’élaboration des menus (date à convenir entre les Parties), le Candidat retenu doit organiser un test avec une sélection de mets raisonnable et validée au préalable par Paris 2024. </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pStyle w:val="Heading2"/>
        <w:rPr/>
      </w:pPr>
      <w:bookmarkStart w:colFirst="0" w:colLast="0" w:name="_heading=h.46r0co2" w:id="50"/>
      <w:bookmarkEnd w:id="50"/>
      <w:r w:rsidDel="00000000" w:rsidR="00000000" w:rsidRPr="00000000">
        <w:rPr>
          <w:rtl w:val="0"/>
        </w:rPr>
        <w:t xml:space="preserve">5.4 Les Partenaires Marketing et leur impact</w:t>
      </w:r>
    </w:p>
    <w:p w:rsidR="00000000" w:rsidDel="00000000" w:rsidP="00000000" w:rsidRDefault="00000000" w:rsidRPr="00000000" w14:paraId="0000025D">
      <w:pPr>
        <w:rPr/>
      </w:pPr>
      <w:r w:rsidDel="00000000" w:rsidR="00000000" w:rsidRPr="00000000">
        <w:rPr>
          <w:rtl w:val="0"/>
        </w:rPr>
        <w:t xml:space="preserve">Les Partenaires Marketing sont les entreprises qui ont acquis auprès du CIO ou de Paris 2024 des droits de marketing exclusifs, dans une catégorie de produits et services donnée, en contrepartie d’une contribution financière ou d’un apport en nature.  </w:t>
      </w:r>
    </w:p>
    <w:p w:rsidR="00000000" w:rsidDel="00000000" w:rsidP="00000000" w:rsidRDefault="00000000" w:rsidRPr="00000000" w14:paraId="0000025E">
      <w:pPr>
        <w:rPr/>
      </w:pPr>
      <w:r w:rsidDel="00000000" w:rsidR="00000000" w:rsidRPr="00000000">
        <w:rPr>
          <w:rtl w:val="0"/>
        </w:rPr>
        <w:t xml:space="preserve">Les droits acquis par les Partenaires Marketing pour pouvoir s’associer aux Jeux sont de plusieurs natures : la fourniture exclusive de produits et de services en lien avec leur cœur de métier, l’usage des propriétés Olympiques et Paralympiques, l’hospitalité sur les lieux de compétition, la création d’expériences novatrices pour les fans, etc…</w:t>
      </w:r>
    </w:p>
    <w:p w:rsidR="00000000" w:rsidDel="00000000" w:rsidP="00000000" w:rsidRDefault="00000000" w:rsidRPr="00000000" w14:paraId="0000025F">
      <w:pPr>
        <w:rPr>
          <w:rFonts w:ascii="Source Sans Pro Light" w:cs="Source Sans Pro Light" w:eastAsia="Source Sans Pro Light" w:hAnsi="Source Sans Pro Light"/>
        </w:rPr>
      </w:pPr>
      <w:r w:rsidDel="00000000" w:rsidR="00000000" w:rsidRPr="00000000">
        <w:rPr>
          <w:rtl w:val="0"/>
        </w:rPr>
        <w:t xml:space="preserve">Les Partenaires Marketing de Paris 2024 ont un impact fort sur le programme de Catering de la Cérémonie car ils détiennent le droit exclusif du référencement</w:t>
      </w:r>
      <w:r w:rsidDel="00000000" w:rsidR="00000000" w:rsidRPr="00000000">
        <w:rPr>
          <w:rFonts w:ascii="Source Sans Pro Light" w:cs="Source Sans Pro Light" w:eastAsia="Source Sans Pro Light" w:hAnsi="Source Sans Pro Light"/>
          <w:rtl w:val="0"/>
        </w:rPr>
        <w:t xml:space="preserve"> de leur portfolio de produits à mettre en vente via les points de vente F&amp;B. Ils bénéficient également d’une visibilité de marque dans tous les points de vente F&amp;B, les ventes ambulantes et digitales, et les équipements de vente. </w:t>
      </w:r>
    </w:p>
    <w:p w:rsidR="00000000" w:rsidDel="00000000" w:rsidP="00000000" w:rsidRDefault="00000000" w:rsidRPr="00000000" w14:paraId="00000260">
      <w:pP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Au T2 2022, les Partenaires Marketing de Paris 2024 ayant un impact direct sur le périmètre F&amp;B sont les suivants :</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Coca Cola et Mengniu</w:t>
      </w:r>
    </w:p>
    <w:p w:rsidR="00000000" w:rsidDel="00000000" w:rsidP="00000000" w:rsidRDefault="00000000" w:rsidRPr="00000000" w14:paraId="00000262">
      <w:pPr>
        <w:rPr/>
      </w:pPr>
      <w:r w:rsidDel="00000000" w:rsidR="00000000" w:rsidRPr="00000000">
        <w:rPr>
          <w:rtl w:val="0"/>
        </w:rPr>
        <w:t xml:space="preserve">Coca-Cola est partenaire des Jeux Olympiques et Paralympiques depuis 1928, et s’est associé avec Mengniu depuis 2019 dans la catégorie de produit « Boissons non alcoolisés (inclus thé et café), bases et préparations pour boissons non alcoolisés, lait et boissons lactées, bases et préparations pour boissons lactées, yaourt, crème glacée et autres produits laitiers ». Ainsi, le Candidat retenu aura l’obligation de proposer uniquement les boissons fraîches (y compris l’eau) et chaudes de la gamme Coca-Cola / Costa Coffee / Innocent. </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Visa</w:t>
      </w:r>
    </w:p>
    <w:p w:rsidR="00000000" w:rsidDel="00000000" w:rsidP="00000000" w:rsidRDefault="00000000" w:rsidRPr="00000000" w14:paraId="00000264">
      <w:pPr>
        <w:rPr/>
      </w:pPr>
      <w:r w:rsidDel="00000000" w:rsidR="00000000" w:rsidRPr="00000000">
        <w:rPr>
          <w:rtl w:val="0"/>
        </w:rPr>
        <w:t xml:space="preserve">Visa est partenaire des Jeux Olympiques et Paralympiques depuis 1986 dans la catégorie de produits « services de paiement, sécurité des transactions/authentification, cartes prépayées ». En lien avec leur catégorie de produit et leurs droits contractuels, les seuls modes de paiement autorisés sur les sites de compétitions et les sites sous le contrôle de Paris 2024 sont l’argent liquide ainsi que les cartes VISA (Visa Only). Toute autre carte de paiement sera refusée. </w:t>
      </w:r>
    </w:p>
    <w:p w:rsidR="00000000" w:rsidDel="00000000" w:rsidP="00000000" w:rsidRDefault="00000000" w:rsidRPr="00000000" w14:paraId="00000265">
      <w:pPr>
        <w:rPr/>
      </w:pPr>
      <w:r w:rsidDel="00000000" w:rsidR="00000000" w:rsidRPr="00000000">
        <w:rPr>
          <w:rtl w:val="0"/>
        </w:rPr>
        <w:t xml:space="preserve">Pour les non titulaires de carte Visa, le Partenaire Marketing Visa mettra en place un dispositif où les spectateurs créditeront des cartes prépayées Visa avec leurs cartes de paiements habituelles afin de leur permettre de consommer dans les points de vente F&amp;B.</w:t>
      </w:r>
    </w:p>
    <w:p w:rsidR="00000000" w:rsidDel="00000000" w:rsidP="00000000" w:rsidRDefault="00000000" w:rsidRPr="00000000" w14:paraId="00000266">
      <w:pPr>
        <w:rPr/>
      </w:pPr>
      <w:r w:rsidDel="00000000" w:rsidR="00000000" w:rsidRPr="00000000">
        <w:rPr>
          <w:rtl w:val="0"/>
        </w:rPr>
        <w:t xml:space="preserve">Opérationnellement le dispositif Visa consistera donc en la mise en place de :</w:t>
      </w:r>
    </w:p>
    <w:p w:rsidR="00000000" w:rsidDel="00000000" w:rsidP="00000000" w:rsidRDefault="00000000" w:rsidRPr="00000000" w14:paraId="0000026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terminaux de paiement électronique sans contact (TPE) dans les concessions F&amp;B grand public et dans le Kiosque Media (en revanche, les caisses enregistreuses seront à la charge du Candidat retenu.) ;</w:t>
      </w:r>
      <w:r w:rsidDel="00000000" w:rsidR="00000000" w:rsidRPr="00000000">
        <w:rPr>
          <w:rtl w:val="0"/>
        </w:rPr>
      </w:r>
    </w:p>
    <w:p w:rsidR="00000000" w:rsidDel="00000000" w:rsidP="00000000" w:rsidRDefault="00000000" w:rsidRPr="00000000" w14:paraId="0000026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De point d’information et d’échange (kiosques ou stands) proposant des cartes Visa prépayées et de vendeurs ambulants proposant des cartes Visa prépayées ;</w:t>
      </w:r>
    </w:p>
    <w:p w:rsidR="00000000" w:rsidDel="00000000" w:rsidP="00000000" w:rsidRDefault="00000000" w:rsidRPr="00000000" w14:paraId="0000026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De supports de branding Visa à placer autour de la zone de paiement ;</w:t>
      </w:r>
    </w:p>
    <w:p w:rsidR="00000000" w:rsidDel="00000000" w:rsidP="00000000" w:rsidRDefault="00000000" w:rsidRPr="00000000" w14:paraId="0000026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Distributeurs automatiques de billets (ATM).</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DANONE</w:t>
      </w:r>
    </w:p>
    <w:p w:rsidR="00000000" w:rsidDel="00000000" w:rsidP="00000000" w:rsidRDefault="00000000" w:rsidRPr="00000000" w14:paraId="0000026C">
      <w:pPr>
        <w:rPr/>
      </w:pPr>
      <w:r w:rsidDel="00000000" w:rsidR="00000000" w:rsidRPr="00000000">
        <w:rPr>
          <w:rtl w:val="0"/>
        </w:rPr>
        <w:t xml:space="preserve">Danone est partenaire officiel des Jeux Olympiques et Paralympiques Paris 2024 dans la catégorie produits laitiers et d’origine végétale. Dans le cas où il serait décidé d'inclure ce type de produits sur les offres à vendre lors d'éventuelles concessions, le candidat devra respecter les droits de commercialisation et ne vendre que des produits de la marque Danone. </w:t>
      </w:r>
    </w:p>
    <w:p w:rsidR="00000000" w:rsidDel="00000000" w:rsidP="00000000" w:rsidRDefault="00000000" w:rsidRPr="00000000" w14:paraId="0000026D">
      <w:pPr>
        <w:rPr/>
      </w:pPr>
      <w:r w:rsidDel="00000000" w:rsidR="00000000" w:rsidRPr="00000000">
        <w:rPr>
          <w:rtl w:val="0"/>
        </w:rPr>
        <w:t xml:space="preserve">Le candidat retenu sera responsable de l'achat d'une gamme de produits prédéfinie avec Danone, compatible avec le prix du marché, et de toute la logistique impliquée dans l'acheminement et le stockage, dans les conditions appropriées, de ces produits sur les sites de Paris 2024.</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Re-uz</w:t>
      </w:r>
    </w:p>
    <w:p w:rsidR="00000000" w:rsidDel="00000000" w:rsidP="00000000" w:rsidRDefault="00000000" w:rsidRPr="00000000" w14:paraId="0000026F">
      <w:pPr>
        <w:rPr/>
      </w:pPr>
      <w:r w:rsidDel="00000000" w:rsidR="00000000" w:rsidRPr="00000000">
        <w:rPr>
          <w:rtl w:val="0"/>
        </w:rPr>
        <w:t xml:space="preserve">RE-UZ est Supporteur Officiel des Jeux Olympiques et Paralympiques Paris 2024 dans </w:t>
      </w:r>
      <w:r w:rsidDel="00000000" w:rsidR="00000000" w:rsidRPr="00000000">
        <w:rPr>
          <w:color w:val="000000"/>
          <w:rtl w:val="0"/>
        </w:rPr>
        <w:t xml:space="preserve">la catégorie “contenants alimentaires et contenants de boissons réutilisables fabriqués à partir de matériaux durables, contenants alimentaires à usage unique faits de matériaux durables et monomatériaux”.</w:t>
      </w:r>
      <w:r w:rsidDel="00000000" w:rsidR="00000000" w:rsidRPr="00000000">
        <w:rPr>
          <w:rtl w:val="0"/>
        </w:rPr>
        <w:t xml:space="preserve"> Ils seront chargés de produire et de distribuer les gobelets réutilisables pour l’intégralité des boissons fraîches et chaudes en vente dans les concessions F&amp;B, ainsi que de les laver si nécessaire. Les conceptions, les tailles, les quantités et la logistique seront définies dans le cadre d'un groupe de travail tripartite entre Paris 2024, RE-UZ et Coca-Cola, avec l'apport du candidat.</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Partenaire Bière</w:t>
      </w:r>
    </w:p>
    <w:p w:rsidR="00000000" w:rsidDel="00000000" w:rsidP="00000000" w:rsidRDefault="00000000" w:rsidRPr="00000000" w14:paraId="00000271">
      <w:pPr>
        <w:rPr/>
      </w:pPr>
      <w:r w:rsidDel="00000000" w:rsidR="00000000" w:rsidRPr="00000000">
        <w:rPr>
          <w:rtl w:val="0"/>
        </w:rPr>
        <w:t xml:space="preserve">Dans le cas où Paris 2024 signe avec un partenaire bière, le candidat retenu sera responsable de l'achat de la gamme de produits prédéfinie de sa marque, ainsi que de sa logistique, de son stockage et de son service. En revanche, il incombera au sponsor de fournir gratuitement le matériel nécessaire au service de la bière. </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Autres partenaires</w:t>
      </w:r>
    </w:p>
    <w:p w:rsidR="00000000" w:rsidDel="00000000" w:rsidP="00000000" w:rsidRDefault="00000000" w:rsidRPr="00000000" w14:paraId="00000273">
      <w:pPr>
        <w:rPr/>
      </w:pPr>
      <w:r w:rsidDel="00000000" w:rsidR="00000000" w:rsidRPr="00000000">
        <w:rPr>
          <w:rtl w:val="0"/>
        </w:rPr>
        <w:t xml:space="preserve">Paris 2024 n’exclut pas l’arrivée d’autres Partenaires Marketing ayant un impact fort sur le programme F&amp;B. Dans ce cas, il faudra s’adapter aux droits contractuels de ces Partenaires Marketing et potentiellement exclusivement mettre en vente les produits référencés de ces nouveaux Partenaires Marketing et adapter le « Look of Success » des points de vente F&amp;B.</w:t>
      </w:r>
    </w:p>
    <w:p w:rsidR="00000000" w:rsidDel="00000000" w:rsidP="00000000" w:rsidRDefault="00000000" w:rsidRPr="00000000" w14:paraId="00000274">
      <w:pPr>
        <w:pStyle w:val="Heading2"/>
        <w:rPr>
          <w:highlight w:val="yellow"/>
        </w:rPr>
      </w:pPr>
      <w:bookmarkStart w:colFirst="0" w:colLast="0" w:name="_heading=h.2lwamvv" w:id="51"/>
      <w:bookmarkEnd w:id="51"/>
      <w:r w:rsidDel="00000000" w:rsidR="00000000" w:rsidRPr="00000000">
        <w:rPr>
          <w:rtl w:val="0"/>
        </w:rPr>
        <w:t xml:space="preserve">5.5 Clean VENUE</w:t>
      </w:r>
      <w:r w:rsidDel="00000000" w:rsidR="00000000" w:rsidRPr="00000000">
        <w:rPr>
          <w:rtl w:val="0"/>
        </w:rPr>
      </w:r>
    </w:p>
    <w:p w:rsidR="00000000" w:rsidDel="00000000" w:rsidP="00000000" w:rsidRDefault="00000000" w:rsidRPr="00000000" w14:paraId="00000275">
      <w:pPr>
        <w:rPr>
          <w:rFonts w:ascii="Source Sans Pro Light" w:cs="Source Sans Pro Light" w:eastAsia="Source Sans Pro Light" w:hAnsi="Source Sans Pro Light"/>
        </w:rPr>
      </w:pPr>
      <w:r w:rsidDel="00000000" w:rsidR="00000000" w:rsidRPr="00000000">
        <w:rPr>
          <w:rtl w:val="0"/>
        </w:rPr>
        <w:t xml:space="preserve">Seul les Partenaires Marketing des Jeux Olympiques et Paralympiques ont le droit contractuel d’avoir de la visibilité sur les sites des Jeux. </w:t>
      </w:r>
      <w:r w:rsidDel="00000000" w:rsidR="00000000" w:rsidRPr="00000000">
        <w:rPr>
          <w:rFonts w:ascii="Source Sans Pro Light" w:cs="Source Sans Pro Light" w:eastAsia="Source Sans Pro Light" w:hAnsi="Source Sans Pro Light"/>
          <w:rtl w:val="0"/>
        </w:rPr>
        <w:t xml:space="preserve">Paris 2024 n’exclut pas l’arrivée d’autres Partenaires Marketing ayant un impact sur ce périmètre. Dans ce cas, le « </w:t>
      </w:r>
      <w:r w:rsidDel="00000000" w:rsidR="00000000" w:rsidRPr="00000000">
        <w:rPr>
          <w:rFonts w:ascii="Source Sans Pro Light" w:cs="Source Sans Pro Light" w:eastAsia="Source Sans Pro Light" w:hAnsi="Source Sans Pro Light"/>
          <w:b w:val="1"/>
          <w:rtl w:val="0"/>
        </w:rPr>
        <w:t xml:space="preserve">Look of Success</w:t>
      </w:r>
      <w:r w:rsidDel="00000000" w:rsidR="00000000" w:rsidRPr="00000000">
        <w:rPr>
          <w:rFonts w:ascii="Source Sans Pro Light" w:cs="Source Sans Pro Light" w:eastAsia="Source Sans Pro Light" w:hAnsi="Source Sans Pro Light"/>
          <w:rtl w:val="0"/>
        </w:rPr>
        <w:t xml:space="preserve"> » sera adapté afin de donner une vision précise de la visibilité contractuelle autorisée dans les points de vente F&amp;B.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Tous les éléments de branding devront être approuvés par Paris 2024 et le CIO, et toutes les marques autres que celles possédées par Visa, Coca-Cola ou les autres Partenaires Marketing devront être recouvertes/cleanés.</w:t>
      </w:r>
    </w:p>
    <w:p w:rsidR="00000000" w:rsidDel="00000000" w:rsidP="00000000" w:rsidRDefault="00000000" w:rsidRPr="00000000" w14:paraId="00000277">
      <w:pPr>
        <w:rPr/>
      </w:pPr>
      <w:r w:rsidDel="00000000" w:rsidR="00000000" w:rsidRPr="00000000">
        <w:rPr>
          <w:rtl w:val="0"/>
        </w:rPr>
        <w:t xml:space="preserve">Voici un exemple de ce que cela peut représenter : </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Comptoir central / Front of House</w:t>
      </w:r>
    </w:p>
    <w:p w:rsidR="00000000" w:rsidDel="00000000" w:rsidP="00000000" w:rsidRDefault="00000000" w:rsidRPr="00000000" w14:paraId="000002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Caisses enregistreuses : Samsung, NEC et NCR sont les fournisseurs habituels de caisses enregistreuses. Les logos de NEC et NCR devront être recouverts, en revanche la visibilité de Samsung peut être laissée en l’état. </w:t>
      </w:r>
    </w:p>
    <w:p w:rsidR="00000000" w:rsidDel="00000000" w:rsidP="00000000" w:rsidRDefault="00000000" w:rsidRPr="00000000" w14:paraId="000002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marques de tablettes pour procéder aux paiements / encaissements peuvent comporter uniquement la visibilité de Samsung.</w:t>
      </w:r>
    </w:p>
    <w:p w:rsidR="00000000" w:rsidDel="00000000" w:rsidP="00000000" w:rsidRDefault="00000000" w:rsidRPr="00000000" w14:paraId="000002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points de vente F&amp;B ayant des écrans (TV) peuvent laisser uniquement la visibilité de Panasonic qui possède les droits contractuels sur cette catégorie de produits.</w:t>
      </w:r>
    </w:p>
    <w:p w:rsidR="00000000" w:rsidDel="00000000" w:rsidP="00000000" w:rsidRDefault="00000000" w:rsidRPr="00000000" w14:paraId="000002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Machines à café : les marques doivent être recouvertes, sauf si elles sont fournies par Coca-Cola via leur filiale Costa Coffee. </w:t>
      </w:r>
    </w:p>
    <w:p w:rsidR="00000000" w:rsidDel="00000000" w:rsidP="00000000" w:rsidRDefault="00000000" w:rsidRPr="00000000" w14:paraId="000002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Nourriture : Les produits de snacking tels que les barres chocolatées, glaces, chips et pop-corn seront vendus dans leur packaging classique mais sans être mis en avant dans les points de vente F&amp;B. Ils ne doivent pas apparaitre sur le comptoir ou dans les présentoirs à l’arrière des points de vente. Les produits packagés ne doivent pas être vendus / mis en avant dans leurs présentoirs habituels (ex : les bonbons Haribo doivent être placés dans un contenant neutre type corbeille en osier/plateau et un seul sachet de bonbon doit être présenté par type de produit). </w:t>
      </w:r>
    </w:p>
    <w:p w:rsidR="00000000" w:rsidDel="00000000" w:rsidP="00000000" w:rsidRDefault="00000000" w:rsidRPr="00000000" w14:paraId="000002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serviettes, emballages, cornets etc… doivent être sans marque. </w:t>
      </w:r>
    </w:p>
    <w:p w:rsidR="00000000" w:rsidDel="00000000" w:rsidP="00000000" w:rsidRDefault="00000000" w:rsidRPr="00000000" w14:paraId="000002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condiments : les produits tels que les sachets de sels, de sucres, les sauces (ketchup, moutarde…) doivent être placés dans des contenants sans marque.</w:t>
      </w:r>
    </w:p>
    <w:p w:rsidR="00000000" w:rsidDel="00000000" w:rsidP="00000000" w:rsidRDefault="00000000" w:rsidRPr="00000000" w14:paraId="000002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tireuses à bière : les marques visibles sur les fûts ne doivent pas être recouvertes, néanmoins ils ne doivent pas être visibles aux consommateurs. Les tireuses à bières doivent être neutres de toute visibilité. Paris 2024 n’exclut pas la possibilité que cette catégorie de produits fasse l’objet d’un droit de fourniture exclusif auprès d’un Partenaire Marketing. </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Produits alimentaires brandés non-autorisés</w:t>
      </w:r>
    </w:p>
    <w:p w:rsidR="00000000" w:rsidDel="00000000" w:rsidP="00000000" w:rsidRDefault="00000000" w:rsidRPr="00000000" w14:paraId="0000028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Tous les produits alimentaires produits et distribués par Pepsi Co ne sont pas autorisés à la vente dans les concessions F&amp;B (ex : Lay’s et Dorito’s).</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Uniformes</w:t>
      </w:r>
    </w:p>
    <w:p w:rsidR="00000000" w:rsidDel="00000000" w:rsidP="00000000" w:rsidRDefault="00000000" w:rsidRPr="00000000" w14:paraId="0000028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uniformes du staff et des responsables des points de vente F&amp;B ne doivent pas comporter de logos avec le nom du Candidat retenu. Les uniformes devront être validés par Paris 2024 avant leur production.</w:t>
      </w:r>
    </w:p>
    <w:p w:rsidR="00000000" w:rsidDel="00000000" w:rsidP="00000000" w:rsidRDefault="00000000" w:rsidRPr="00000000" w14:paraId="00000285">
      <w:pPr>
        <w:pStyle w:val="Heading2"/>
        <w:rPr/>
      </w:pPr>
      <w:bookmarkStart w:colFirst="0" w:colLast="0" w:name="_heading=h.111kx3o" w:id="52"/>
      <w:bookmarkEnd w:id="52"/>
      <w:r w:rsidDel="00000000" w:rsidR="00000000" w:rsidRPr="00000000">
        <w:rPr>
          <w:rtl w:val="0"/>
        </w:rPr>
        <w:t xml:space="preserve">5.6 L’événement test </w:t>
      </w:r>
    </w:p>
    <w:p w:rsidR="00000000" w:rsidDel="00000000" w:rsidP="00000000" w:rsidRDefault="00000000" w:rsidRPr="00000000" w14:paraId="00000286">
      <w:pPr>
        <w:rPr/>
      </w:pPr>
      <w:r w:rsidDel="00000000" w:rsidR="00000000" w:rsidRPr="00000000">
        <w:rPr>
          <w:rtl w:val="0"/>
        </w:rPr>
        <w:t xml:space="preserve">Un test de l’ensemble des services du quai bas de la Seine pourrait être organisé par Paris 2024 courant 2023 ou 2024 (date définitive à confirmer). Le Candidat retenu doit à cette occasion exploiter les espaces de restauration en situation quasi-réelle (acheminement des vivres, transformation sur site, mise en rayon et affichage, service, débarrassage etc.). </w:t>
      </w:r>
    </w:p>
    <w:p w:rsidR="00000000" w:rsidDel="00000000" w:rsidP="00000000" w:rsidRDefault="00000000" w:rsidRPr="00000000" w14:paraId="00000287">
      <w:pPr>
        <w:pStyle w:val="Heading2"/>
        <w:rPr/>
      </w:pPr>
      <w:bookmarkStart w:colFirst="0" w:colLast="0" w:name="_heading=h.3l18frh" w:id="53"/>
      <w:bookmarkEnd w:id="53"/>
      <w:r w:rsidDel="00000000" w:rsidR="00000000" w:rsidRPr="00000000">
        <w:rPr>
          <w:rtl w:val="0"/>
        </w:rPr>
        <w:t xml:space="preserve">5.7 Le tri des déchets</w:t>
      </w:r>
    </w:p>
    <w:p w:rsidR="00000000" w:rsidDel="00000000" w:rsidP="00000000" w:rsidRDefault="00000000" w:rsidRPr="00000000" w14:paraId="00000288">
      <w:pPr>
        <w:rPr/>
      </w:pPr>
      <w:r w:rsidDel="00000000" w:rsidR="00000000" w:rsidRPr="00000000">
        <w:rPr>
          <w:rtl w:val="0"/>
        </w:rPr>
        <w:t xml:space="preserve">Après avoir réduit la quantité de déchets produits, le tri sélectif de ceux qui n’auront pas pu être évités est une action efficace et essentielle</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en vertu des engagements de Paris 2024 en matière d’économie circulaire. </w:t>
      </w:r>
    </w:p>
    <w:p w:rsidR="00000000" w:rsidDel="00000000" w:rsidP="00000000" w:rsidRDefault="00000000" w:rsidRPr="00000000" w14:paraId="00000289">
      <w:pPr>
        <w:spacing w:after="240" w:before="240" w:line="240" w:lineRule="auto"/>
        <w:rPr/>
      </w:pPr>
      <w:bookmarkStart w:colFirst="0" w:colLast="0" w:name="_heading=h.206ipza" w:id="54"/>
      <w:bookmarkEnd w:id="54"/>
      <w:r w:rsidDel="00000000" w:rsidR="00000000" w:rsidRPr="00000000">
        <w:rPr>
          <w:rtl w:val="0"/>
        </w:rPr>
        <w:t xml:space="preserve">Paris 2024 est conscient des risques associés à l’organisation d’un événement tel que les Jeux et attend du Candidat retenu qu’il contribue à l’innovation en faveur de la réduction des déchets, respecte la gestion des déchets qui sera mise en place et qu’il sensibilise et forme son personnel aux bonnes pratiques. </w:t>
      </w:r>
    </w:p>
    <w:p w:rsidR="00000000" w:rsidDel="00000000" w:rsidP="00000000" w:rsidRDefault="00000000" w:rsidRPr="00000000" w14:paraId="0000028A">
      <w:pPr>
        <w:pStyle w:val="Heading3"/>
        <w:rPr>
          <w:rFonts w:ascii="Paris2024" w:cs="Paris2024" w:eastAsia="Paris2024" w:hAnsi="Paris2024"/>
          <w:color w:val="006aff"/>
          <w:sz w:val="24"/>
          <w:szCs w:val="24"/>
        </w:rPr>
      </w:pPr>
      <w:bookmarkStart w:colFirst="0" w:colLast="0" w:name="_heading=h.4k668n3" w:id="55"/>
      <w:bookmarkEnd w:id="55"/>
      <w:r w:rsidDel="00000000" w:rsidR="00000000" w:rsidRPr="00000000">
        <w:rPr>
          <w:rFonts w:ascii="Paris2024" w:cs="Paris2024" w:eastAsia="Paris2024" w:hAnsi="Paris2024"/>
          <w:color w:val="006aff"/>
          <w:sz w:val="24"/>
          <w:szCs w:val="24"/>
          <w:rtl w:val="0"/>
        </w:rPr>
        <w:t xml:space="preserve">5.7.1 La répartition des rôles du tri des déchets </w:t>
      </w:r>
    </w:p>
    <w:p w:rsidR="00000000" w:rsidDel="00000000" w:rsidP="00000000" w:rsidRDefault="00000000" w:rsidRPr="00000000" w14:paraId="0000028B">
      <w:pPr>
        <w:rPr/>
      </w:pPr>
      <w:r w:rsidDel="00000000" w:rsidR="00000000" w:rsidRPr="00000000">
        <w:rPr>
          <w:rtl w:val="0"/>
        </w:rPr>
        <w:t xml:space="preserve">Le Candidat retenu a comme mission le tri des différentes matières dans toutes les zones allouées à la restauration sur les sites de compétition (salles de réception, zones de débarrassage, offices / cuisines, zones techniques, bureaux de l’exploitant le cas échéant, etc.) et doit notamment veiller à ce que l’intégralité de son staff ainsi que ses sous-traitants respectent scrupuleusement les consignes de tri. Des pénalités seront mises en place pour garantir que le Candidat retenu respecte ses engagements en la matière. </w:t>
      </w:r>
    </w:p>
    <w:p w:rsidR="00000000" w:rsidDel="00000000" w:rsidP="00000000" w:rsidRDefault="00000000" w:rsidRPr="00000000" w14:paraId="0000028C">
      <w:pPr>
        <w:rPr>
          <w:color w:val="000000"/>
          <w:sz w:val="18"/>
          <w:szCs w:val="18"/>
        </w:rPr>
      </w:pPr>
      <w:r w:rsidDel="00000000" w:rsidR="00000000" w:rsidRPr="00000000">
        <w:rPr>
          <w:rtl w:val="0"/>
        </w:rPr>
        <w:t xml:space="preserve">Paris 2024 a la charge de la collecte des bennes et autres équipements de collecte pour envoi en traitement en recyclage. Les lieux de collecte sont définis par Paris 2024 et discutés pendant l’Appel d’Offres.   </w:t>
      </w:r>
      <w:r w:rsidDel="00000000" w:rsidR="00000000" w:rsidRPr="00000000">
        <w:rPr>
          <w:rtl w:val="0"/>
        </w:rPr>
      </w:r>
    </w:p>
    <w:p w:rsidR="00000000" w:rsidDel="00000000" w:rsidP="00000000" w:rsidRDefault="00000000" w:rsidRPr="00000000" w14:paraId="0000028D">
      <w:pPr>
        <w:rPr>
          <w:color w:val="000000"/>
        </w:rPr>
      </w:pPr>
      <w:r w:rsidDel="00000000" w:rsidR="00000000" w:rsidRPr="00000000">
        <w:rPr>
          <w:color w:val="000000"/>
          <w:rtl w:val="0"/>
        </w:rPr>
        <w:t xml:space="preserve">Le récapitulatif ci-dessous est donné à titre indicatif : </w:t>
      </w:r>
    </w:p>
    <w:tbl>
      <w:tblPr>
        <w:tblStyle w:val="Table9"/>
        <w:tblW w:w="1005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5"/>
        <w:gridCol w:w="2115"/>
        <w:gridCol w:w="1995"/>
        <w:gridCol w:w="3982"/>
        <w:tblGridChange w:id="0">
          <w:tblGrid>
            <w:gridCol w:w="1965"/>
            <w:gridCol w:w="2115"/>
            <w:gridCol w:w="1995"/>
            <w:gridCol w:w="3982"/>
          </w:tblGrid>
        </w:tblGridChange>
      </w:tblGrid>
      <w:tr>
        <w:trPr>
          <w:cantSplit w:val="0"/>
          <w:trHeight w:val="300" w:hRule="atLeast"/>
          <w:tblHeader w:val="0"/>
        </w:trPr>
        <w:tc>
          <w:tcPr>
            <w:shd w:fill="006aff" w:val="clear"/>
          </w:tcPr>
          <w:p w:rsidR="00000000" w:rsidDel="00000000" w:rsidP="00000000" w:rsidRDefault="00000000" w:rsidRPr="00000000" w14:paraId="0000028E">
            <w:pPr>
              <w:spacing w:after="0" w:line="240" w:lineRule="auto"/>
              <w:jc w:val="center"/>
              <w:rPr>
                <w:b w:val="1"/>
                <w:color w:val="000000"/>
                <w:sz w:val="24"/>
                <w:szCs w:val="24"/>
              </w:rPr>
            </w:pPr>
            <w:r w:rsidDel="00000000" w:rsidR="00000000" w:rsidRPr="00000000">
              <w:rPr>
                <w:b w:val="1"/>
                <w:color w:val="000000"/>
                <w:rtl w:val="0"/>
              </w:rPr>
              <w:t xml:space="preserve">Lieu du gisement </w:t>
            </w:r>
            <w:r w:rsidDel="00000000" w:rsidR="00000000" w:rsidRPr="00000000">
              <w:rPr>
                <w:rtl w:val="0"/>
              </w:rPr>
            </w:r>
          </w:p>
        </w:tc>
        <w:tc>
          <w:tcPr>
            <w:shd w:fill="006aff" w:val="clear"/>
          </w:tcPr>
          <w:p w:rsidR="00000000" w:rsidDel="00000000" w:rsidP="00000000" w:rsidRDefault="00000000" w:rsidRPr="00000000" w14:paraId="0000028F">
            <w:pPr>
              <w:spacing w:after="0" w:line="240" w:lineRule="auto"/>
              <w:jc w:val="center"/>
              <w:rPr>
                <w:b w:val="1"/>
                <w:color w:val="000000"/>
                <w:sz w:val="24"/>
                <w:szCs w:val="24"/>
              </w:rPr>
            </w:pPr>
            <w:r w:rsidDel="00000000" w:rsidR="00000000" w:rsidRPr="00000000">
              <w:rPr>
                <w:b w:val="1"/>
                <w:color w:val="000000"/>
                <w:rtl w:val="0"/>
              </w:rPr>
              <w:t xml:space="preserve">Déchets triés par </w:t>
            </w:r>
            <w:r w:rsidDel="00000000" w:rsidR="00000000" w:rsidRPr="00000000">
              <w:rPr>
                <w:rtl w:val="0"/>
              </w:rPr>
            </w:r>
          </w:p>
        </w:tc>
        <w:tc>
          <w:tcPr>
            <w:shd w:fill="006aff" w:val="clear"/>
          </w:tcPr>
          <w:p w:rsidR="00000000" w:rsidDel="00000000" w:rsidP="00000000" w:rsidRDefault="00000000" w:rsidRPr="00000000" w14:paraId="00000290">
            <w:pPr>
              <w:spacing w:after="0" w:line="240" w:lineRule="auto"/>
              <w:rPr>
                <w:b w:val="1"/>
                <w:color w:val="000000"/>
                <w:sz w:val="24"/>
                <w:szCs w:val="24"/>
              </w:rPr>
            </w:pPr>
            <w:r w:rsidDel="00000000" w:rsidR="00000000" w:rsidRPr="00000000">
              <w:rPr>
                <w:b w:val="1"/>
                <w:color w:val="000000"/>
                <w:rtl w:val="0"/>
              </w:rPr>
              <w:t xml:space="preserve">Matières </w:t>
            </w:r>
            <w:r w:rsidDel="00000000" w:rsidR="00000000" w:rsidRPr="00000000">
              <w:rPr>
                <w:rtl w:val="0"/>
              </w:rPr>
            </w:r>
          </w:p>
        </w:tc>
        <w:tc>
          <w:tcPr>
            <w:shd w:fill="006aff" w:val="clear"/>
          </w:tcPr>
          <w:p w:rsidR="00000000" w:rsidDel="00000000" w:rsidP="00000000" w:rsidRDefault="00000000" w:rsidRPr="00000000" w14:paraId="00000291">
            <w:pPr>
              <w:spacing w:after="0" w:line="240" w:lineRule="auto"/>
              <w:rPr>
                <w:b w:val="1"/>
                <w:color w:val="000000"/>
                <w:sz w:val="24"/>
                <w:szCs w:val="24"/>
              </w:rPr>
            </w:pPr>
            <w:r w:rsidDel="00000000" w:rsidR="00000000" w:rsidRPr="00000000">
              <w:rPr>
                <w:b w:val="1"/>
                <w:color w:val="000000"/>
                <w:rtl w:val="0"/>
              </w:rPr>
              <w:t xml:space="preserve">Ramassé, évacué et recyclé par </w:t>
            </w:r>
            <w:r w:rsidDel="00000000" w:rsidR="00000000" w:rsidRPr="00000000">
              <w:rPr>
                <w:rtl w:val="0"/>
              </w:rPr>
            </w:r>
          </w:p>
        </w:tc>
      </w:tr>
      <w:tr>
        <w:trPr>
          <w:cantSplit w:val="0"/>
          <w:trHeight w:val="300" w:hRule="atLeast"/>
          <w:tblHeader w:val="0"/>
        </w:trPr>
        <w:tc>
          <w:tcPr>
            <w:vMerge w:val="restart"/>
            <w:shd w:fill="cce1ff" w:val="clear"/>
          </w:tcPr>
          <w:p w:rsidR="00000000" w:rsidDel="00000000" w:rsidP="00000000" w:rsidRDefault="00000000" w:rsidRPr="00000000" w14:paraId="00000292">
            <w:pPr>
              <w:spacing w:after="0" w:line="240" w:lineRule="auto"/>
              <w:jc w:val="center"/>
              <w:rPr>
                <w:b w:val="1"/>
                <w:color w:val="000000"/>
                <w:sz w:val="24"/>
                <w:szCs w:val="24"/>
              </w:rPr>
            </w:pPr>
            <w:r w:rsidDel="00000000" w:rsidR="00000000" w:rsidRPr="00000000">
              <w:rPr>
                <w:b w:val="1"/>
                <w:color w:val="000000"/>
                <w:rtl w:val="0"/>
              </w:rPr>
              <w:t xml:space="preserve">Zones allouées aux Catering (salles de réception, cuisines, offices, laboratoires, zones de stockage, bureaux etc.) </w:t>
            </w:r>
            <w:r w:rsidDel="00000000" w:rsidR="00000000" w:rsidRPr="00000000">
              <w:rPr>
                <w:rtl w:val="0"/>
              </w:rPr>
            </w:r>
          </w:p>
        </w:tc>
        <w:tc>
          <w:tcPr>
            <w:vMerge w:val="restart"/>
            <w:shd w:fill="cce1ff" w:val="clear"/>
          </w:tcPr>
          <w:p w:rsidR="00000000" w:rsidDel="00000000" w:rsidP="00000000" w:rsidRDefault="00000000" w:rsidRPr="00000000" w14:paraId="00000293">
            <w:pPr>
              <w:spacing w:after="0" w:line="240" w:lineRule="auto"/>
              <w:jc w:val="center"/>
              <w:rPr>
                <w:color w:val="000000"/>
                <w:sz w:val="24"/>
                <w:szCs w:val="24"/>
              </w:rPr>
            </w:pPr>
            <w:r w:rsidDel="00000000" w:rsidR="00000000" w:rsidRPr="00000000">
              <w:rPr>
                <w:color w:val="000000"/>
                <w:rtl w:val="0"/>
              </w:rPr>
              <w:t xml:space="preserve">Candidat retenu </w:t>
            </w:r>
            <w:r w:rsidDel="00000000" w:rsidR="00000000" w:rsidRPr="00000000">
              <w:rPr>
                <w:rtl w:val="0"/>
              </w:rPr>
            </w:r>
          </w:p>
        </w:tc>
        <w:tc>
          <w:tcPr>
            <w:shd w:fill="cce1ff" w:val="clear"/>
          </w:tcPr>
          <w:p w:rsidR="00000000" w:rsidDel="00000000" w:rsidP="00000000" w:rsidRDefault="00000000" w:rsidRPr="00000000" w14:paraId="00000294">
            <w:pPr>
              <w:spacing w:after="0" w:line="240" w:lineRule="auto"/>
              <w:rPr>
                <w:color w:val="000000"/>
                <w:sz w:val="24"/>
                <w:szCs w:val="24"/>
              </w:rPr>
            </w:pPr>
            <w:r w:rsidDel="00000000" w:rsidR="00000000" w:rsidRPr="00000000">
              <w:rPr>
                <w:color w:val="000000"/>
                <w:rtl w:val="0"/>
              </w:rPr>
              <w:t xml:space="preserve">Bois </w:t>
            </w:r>
            <w:r w:rsidDel="00000000" w:rsidR="00000000" w:rsidRPr="00000000">
              <w:rPr>
                <w:rtl w:val="0"/>
              </w:rPr>
            </w:r>
          </w:p>
        </w:tc>
        <w:tc>
          <w:tcPr>
            <w:shd w:fill="cce1ff" w:val="clear"/>
          </w:tcPr>
          <w:p w:rsidR="00000000" w:rsidDel="00000000" w:rsidP="00000000" w:rsidRDefault="00000000" w:rsidRPr="00000000" w14:paraId="00000295">
            <w:pPr>
              <w:spacing w:after="0" w:line="240" w:lineRule="auto"/>
              <w:rPr>
                <w:color w:val="000000"/>
                <w:sz w:val="24"/>
                <w:szCs w:val="24"/>
              </w:rPr>
            </w:pPr>
            <w:r w:rsidDel="00000000" w:rsidR="00000000" w:rsidRPr="00000000">
              <w:rPr>
                <w:color w:val="000000"/>
                <w:rtl w:val="0"/>
              </w:rPr>
              <w:t xml:space="preserve">Prestataire de collecte de Paris 2024 </w:t>
            </w:r>
            <w:r w:rsidDel="00000000" w:rsidR="00000000" w:rsidRPr="00000000">
              <w:rPr>
                <w:rtl w:val="0"/>
              </w:rPr>
            </w:r>
          </w:p>
        </w:tc>
      </w:tr>
      <w:tr>
        <w:trPr>
          <w:cantSplit w:val="0"/>
          <w:trHeight w:val="300" w:hRule="atLeast"/>
          <w:tblHeader w:val="0"/>
        </w:trPr>
        <w:tc>
          <w:tcPr>
            <w:vMerge w:val="continue"/>
            <w:shd w:fill="cce1ff" w:val="clear"/>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shd w:fill="cce1ff" w:val="clea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298">
            <w:pPr>
              <w:spacing w:after="0" w:line="240" w:lineRule="auto"/>
              <w:rPr>
                <w:color w:val="000000"/>
                <w:sz w:val="24"/>
                <w:szCs w:val="24"/>
              </w:rPr>
            </w:pPr>
            <w:r w:rsidDel="00000000" w:rsidR="00000000" w:rsidRPr="00000000">
              <w:rPr>
                <w:color w:val="000000"/>
                <w:rtl w:val="0"/>
              </w:rPr>
              <w:t xml:space="preserve">Verre </w:t>
            </w:r>
            <w:r w:rsidDel="00000000" w:rsidR="00000000" w:rsidRPr="00000000">
              <w:rPr>
                <w:rtl w:val="0"/>
              </w:rPr>
            </w:r>
          </w:p>
        </w:tc>
        <w:tc>
          <w:tcPr>
            <w:shd w:fill="auto" w:val="clear"/>
          </w:tcPr>
          <w:p w:rsidR="00000000" w:rsidDel="00000000" w:rsidP="00000000" w:rsidRDefault="00000000" w:rsidRPr="00000000" w14:paraId="00000299">
            <w:pPr>
              <w:spacing w:after="0" w:line="240" w:lineRule="auto"/>
              <w:rPr>
                <w:color w:val="000000"/>
                <w:sz w:val="24"/>
                <w:szCs w:val="24"/>
              </w:rPr>
            </w:pPr>
            <w:r w:rsidDel="00000000" w:rsidR="00000000" w:rsidRPr="00000000">
              <w:rPr>
                <w:color w:val="000000"/>
                <w:rtl w:val="0"/>
              </w:rPr>
              <w:t xml:space="preserve">Prestataire de collecte de Paris 2024 </w:t>
            </w:r>
            <w:r w:rsidDel="00000000" w:rsidR="00000000" w:rsidRPr="00000000">
              <w:rPr>
                <w:rtl w:val="0"/>
              </w:rPr>
            </w:r>
          </w:p>
        </w:tc>
      </w:tr>
      <w:tr>
        <w:trPr>
          <w:cantSplit w:val="0"/>
          <w:trHeight w:val="300" w:hRule="atLeast"/>
          <w:tblHeader w:val="0"/>
        </w:trPr>
        <w:tc>
          <w:tcPr>
            <w:vMerge w:val="continue"/>
            <w:shd w:fill="cce1ff" w:val="clear"/>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shd w:fill="cce1ff" w:val="clear"/>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shd w:fill="cce1ff" w:val="clear"/>
          </w:tcPr>
          <w:p w:rsidR="00000000" w:rsidDel="00000000" w:rsidP="00000000" w:rsidRDefault="00000000" w:rsidRPr="00000000" w14:paraId="0000029C">
            <w:pPr>
              <w:spacing w:after="0" w:line="240" w:lineRule="auto"/>
              <w:rPr>
                <w:color w:val="000000"/>
                <w:sz w:val="24"/>
                <w:szCs w:val="24"/>
              </w:rPr>
            </w:pPr>
            <w:r w:rsidDel="00000000" w:rsidR="00000000" w:rsidRPr="00000000">
              <w:rPr>
                <w:color w:val="000000"/>
                <w:rtl w:val="0"/>
              </w:rPr>
              <w:t xml:space="preserve">Plastique </w:t>
            </w:r>
            <w:r w:rsidDel="00000000" w:rsidR="00000000" w:rsidRPr="00000000">
              <w:rPr>
                <w:rtl w:val="0"/>
              </w:rPr>
            </w:r>
          </w:p>
        </w:tc>
        <w:tc>
          <w:tcPr>
            <w:shd w:fill="cce1ff" w:val="clear"/>
          </w:tcPr>
          <w:p w:rsidR="00000000" w:rsidDel="00000000" w:rsidP="00000000" w:rsidRDefault="00000000" w:rsidRPr="00000000" w14:paraId="0000029D">
            <w:pPr>
              <w:spacing w:after="0" w:line="240" w:lineRule="auto"/>
              <w:rPr>
                <w:color w:val="000000"/>
                <w:sz w:val="24"/>
                <w:szCs w:val="24"/>
              </w:rPr>
            </w:pPr>
            <w:r w:rsidDel="00000000" w:rsidR="00000000" w:rsidRPr="00000000">
              <w:rPr>
                <w:color w:val="000000"/>
                <w:rtl w:val="0"/>
              </w:rPr>
              <w:t xml:space="preserve">Prestataire de collecte de Paris 2024 </w:t>
            </w:r>
            <w:r w:rsidDel="00000000" w:rsidR="00000000" w:rsidRPr="00000000">
              <w:rPr>
                <w:rtl w:val="0"/>
              </w:rPr>
            </w:r>
          </w:p>
        </w:tc>
      </w:tr>
      <w:tr>
        <w:trPr>
          <w:cantSplit w:val="0"/>
          <w:trHeight w:val="300" w:hRule="atLeast"/>
          <w:tblHeader w:val="0"/>
        </w:trPr>
        <w:tc>
          <w:tcPr>
            <w:vMerge w:val="continue"/>
            <w:shd w:fill="cce1ff" w:val="clear"/>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shd w:fill="cce1ff" w:val="clear"/>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2A0">
            <w:pPr>
              <w:spacing w:after="0" w:line="240" w:lineRule="auto"/>
              <w:rPr>
                <w:color w:val="000000"/>
                <w:sz w:val="24"/>
                <w:szCs w:val="24"/>
              </w:rPr>
            </w:pPr>
            <w:r w:rsidDel="00000000" w:rsidR="00000000" w:rsidRPr="00000000">
              <w:rPr>
                <w:color w:val="000000"/>
                <w:rtl w:val="0"/>
              </w:rPr>
              <w:t xml:space="preserve">Papier &amp; carton </w:t>
            </w:r>
            <w:r w:rsidDel="00000000" w:rsidR="00000000" w:rsidRPr="00000000">
              <w:rPr>
                <w:rtl w:val="0"/>
              </w:rPr>
            </w:r>
          </w:p>
        </w:tc>
        <w:tc>
          <w:tcPr>
            <w:shd w:fill="auto" w:val="clear"/>
          </w:tcPr>
          <w:p w:rsidR="00000000" w:rsidDel="00000000" w:rsidP="00000000" w:rsidRDefault="00000000" w:rsidRPr="00000000" w14:paraId="000002A1">
            <w:pPr>
              <w:spacing w:after="0" w:line="240" w:lineRule="auto"/>
              <w:rPr>
                <w:color w:val="000000"/>
                <w:sz w:val="24"/>
                <w:szCs w:val="24"/>
              </w:rPr>
            </w:pPr>
            <w:r w:rsidDel="00000000" w:rsidR="00000000" w:rsidRPr="00000000">
              <w:rPr>
                <w:color w:val="000000"/>
                <w:rtl w:val="0"/>
              </w:rPr>
              <w:t xml:space="preserve">Prestataire de collecte de Paris 2024 </w:t>
            </w:r>
            <w:r w:rsidDel="00000000" w:rsidR="00000000" w:rsidRPr="00000000">
              <w:rPr>
                <w:rtl w:val="0"/>
              </w:rPr>
            </w:r>
          </w:p>
        </w:tc>
      </w:tr>
      <w:tr>
        <w:trPr>
          <w:cantSplit w:val="0"/>
          <w:trHeight w:val="405" w:hRule="atLeast"/>
          <w:tblHeader w:val="0"/>
        </w:trPr>
        <w:tc>
          <w:tcPr>
            <w:vMerge w:val="continue"/>
            <w:shd w:fill="cce1ff" w:val="clear"/>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shd w:fill="cce1ff" w:val="clear"/>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shd w:fill="cce1ff" w:val="clear"/>
          </w:tcPr>
          <w:p w:rsidR="00000000" w:rsidDel="00000000" w:rsidP="00000000" w:rsidRDefault="00000000" w:rsidRPr="00000000" w14:paraId="000002A4">
            <w:pPr>
              <w:spacing w:after="0" w:line="240" w:lineRule="auto"/>
              <w:rPr>
                <w:color w:val="000000"/>
                <w:sz w:val="24"/>
                <w:szCs w:val="24"/>
              </w:rPr>
            </w:pPr>
            <w:r w:rsidDel="00000000" w:rsidR="00000000" w:rsidRPr="00000000">
              <w:rPr>
                <w:color w:val="000000"/>
                <w:rtl w:val="0"/>
              </w:rPr>
              <w:t xml:space="preserve">Métaux ferreux et non-ferreux </w:t>
            </w:r>
            <w:r w:rsidDel="00000000" w:rsidR="00000000" w:rsidRPr="00000000">
              <w:rPr>
                <w:rtl w:val="0"/>
              </w:rPr>
            </w:r>
          </w:p>
        </w:tc>
        <w:tc>
          <w:tcPr>
            <w:shd w:fill="cce1ff" w:val="clear"/>
          </w:tcPr>
          <w:p w:rsidR="00000000" w:rsidDel="00000000" w:rsidP="00000000" w:rsidRDefault="00000000" w:rsidRPr="00000000" w14:paraId="000002A5">
            <w:pPr>
              <w:spacing w:after="0" w:line="240" w:lineRule="auto"/>
              <w:jc w:val="left"/>
              <w:rPr>
                <w:color w:val="000000"/>
                <w:sz w:val="24"/>
                <w:szCs w:val="24"/>
              </w:rPr>
            </w:pPr>
            <w:r w:rsidDel="00000000" w:rsidR="00000000" w:rsidRPr="00000000">
              <w:rPr>
                <w:color w:val="000000"/>
                <w:rtl w:val="0"/>
              </w:rPr>
              <w:t xml:space="preserve">Prestataire de collecte de Paris 2024 </w:t>
            </w:r>
            <w:r w:rsidDel="00000000" w:rsidR="00000000" w:rsidRPr="00000000">
              <w:rPr>
                <w:rtl w:val="0"/>
              </w:rPr>
            </w:r>
          </w:p>
        </w:tc>
      </w:tr>
      <w:tr>
        <w:trPr>
          <w:cantSplit w:val="0"/>
          <w:trHeight w:val="405" w:hRule="atLeast"/>
          <w:tblHeader w:val="0"/>
        </w:trPr>
        <w:tc>
          <w:tcPr>
            <w:vMerge w:val="continue"/>
            <w:shd w:fill="cce1ff" w:val="clear"/>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shd w:fill="cce1ff" w:val="clear"/>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2A8">
            <w:pPr>
              <w:spacing w:after="0" w:line="240" w:lineRule="auto"/>
              <w:rPr>
                <w:color w:val="000000"/>
                <w:sz w:val="24"/>
                <w:szCs w:val="24"/>
              </w:rPr>
            </w:pPr>
            <w:r w:rsidDel="00000000" w:rsidR="00000000" w:rsidRPr="00000000">
              <w:rPr>
                <w:color w:val="000000"/>
                <w:rtl w:val="0"/>
              </w:rPr>
              <w:t xml:space="preserve">Déchets alimentaires </w:t>
            </w:r>
            <w:r w:rsidDel="00000000" w:rsidR="00000000" w:rsidRPr="00000000">
              <w:rPr>
                <w:rtl w:val="0"/>
              </w:rPr>
            </w:r>
          </w:p>
        </w:tc>
        <w:tc>
          <w:tcPr>
            <w:shd w:fill="auto" w:val="clear"/>
          </w:tcPr>
          <w:p w:rsidR="00000000" w:rsidDel="00000000" w:rsidP="00000000" w:rsidRDefault="00000000" w:rsidRPr="00000000" w14:paraId="000002A9">
            <w:pPr>
              <w:spacing w:after="0" w:line="240" w:lineRule="auto"/>
              <w:jc w:val="left"/>
              <w:rPr>
                <w:color w:val="000000"/>
              </w:rPr>
            </w:pPr>
            <w:r w:rsidDel="00000000" w:rsidR="00000000" w:rsidRPr="00000000">
              <w:rPr>
                <w:color w:val="000000"/>
                <w:rtl w:val="0"/>
              </w:rPr>
              <w:t xml:space="preserve">Partenaire de redistribution              </w:t>
            </w:r>
          </w:p>
          <w:p w:rsidR="00000000" w:rsidDel="00000000" w:rsidP="00000000" w:rsidRDefault="00000000" w:rsidRPr="00000000" w14:paraId="000002AA">
            <w:pPr>
              <w:spacing w:after="0" w:line="240" w:lineRule="auto"/>
              <w:jc w:val="left"/>
              <w:rPr>
                <w:color w:val="000000"/>
                <w:sz w:val="24"/>
                <w:szCs w:val="24"/>
              </w:rPr>
            </w:pPr>
            <w:r w:rsidDel="00000000" w:rsidR="00000000" w:rsidRPr="00000000">
              <w:rPr>
                <w:color w:val="000000"/>
                <w:rtl w:val="0"/>
              </w:rPr>
              <w:t xml:space="preserve">Prestataire de collecte de Paris 2024 </w:t>
            </w:r>
            <w:r w:rsidDel="00000000" w:rsidR="00000000" w:rsidRPr="00000000">
              <w:rPr>
                <w:rtl w:val="0"/>
              </w:rPr>
            </w:r>
          </w:p>
        </w:tc>
      </w:tr>
      <w:tr>
        <w:trPr>
          <w:cantSplit w:val="0"/>
          <w:trHeight w:val="300" w:hRule="atLeast"/>
          <w:tblHeader w:val="0"/>
        </w:trPr>
        <w:tc>
          <w:tcPr>
            <w:vMerge w:val="continue"/>
            <w:shd w:fill="cce1ff" w:val="clear"/>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shd w:fill="cce1ff" w:val="clear"/>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shd w:fill="cce1ff" w:val="clear"/>
          </w:tcPr>
          <w:p w:rsidR="00000000" w:rsidDel="00000000" w:rsidP="00000000" w:rsidRDefault="00000000" w:rsidRPr="00000000" w14:paraId="000002AD">
            <w:pPr>
              <w:spacing w:after="0" w:line="240" w:lineRule="auto"/>
              <w:rPr>
                <w:color w:val="000000"/>
                <w:sz w:val="24"/>
                <w:szCs w:val="24"/>
              </w:rPr>
            </w:pPr>
            <w:r w:rsidDel="00000000" w:rsidR="00000000" w:rsidRPr="00000000">
              <w:rPr>
                <w:color w:val="000000"/>
                <w:rtl w:val="0"/>
              </w:rPr>
              <w:t xml:space="preserve">Tout venant </w:t>
            </w:r>
            <w:r w:rsidDel="00000000" w:rsidR="00000000" w:rsidRPr="00000000">
              <w:rPr>
                <w:rtl w:val="0"/>
              </w:rPr>
            </w:r>
          </w:p>
        </w:tc>
        <w:tc>
          <w:tcPr>
            <w:shd w:fill="cce1ff" w:val="clear"/>
          </w:tcPr>
          <w:p w:rsidR="00000000" w:rsidDel="00000000" w:rsidP="00000000" w:rsidRDefault="00000000" w:rsidRPr="00000000" w14:paraId="000002AE">
            <w:pPr>
              <w:spacing w:after="0" w:line="240" w:lineRule="auto"/>
              <w:rPr>
                <w:color w:val="000000"/>
                <w:sz w:val="24"/>
                <w:szCs w:val="24"/>
              </w:rPr>
            </w:pPr>
            <w:r w:rsidDel="00000000" w:rsidR="00000000" w:rsidRPr="00000000">
              <w:rPr>
                <w:color w:val="000000"/>
                <w:rtl w:val="0"/>
              </w:rPr>
              <w:t xml:space="preserve">Prestataire de collecte de Paris 2024 </w:t>
            </w:r>
            <w:r w:rsidDel="00000000" w:rsidR="00000000" w:rsidRPr="00000000">
              <w:rPr>
                <w:rtl w:val="0"/>
              </w:rPr>
            </w:r>
          </w:p>
        </w:tc>
      </w:tr>
      <w:tr>
        <w:trPr>
          <w:cantSplit w:val="0"/>
          <w:trHeight w:val="300" w:hRule="atLeast"/>
          <w:tblHeader w:val="0"/>
        </w:trPr>
        <w:tc>
          <w:tcPr>
            <w:vMerge w:val="continue"/>
            <w:shd w:fill="cce1ff" w:val="clear"/>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shd w:fill="cce1ff" w:val="clear"/>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2B1">
            <w:pPr>
              <w:spacing w:after="0" w:line="240" w:lineRule="auto"/>
              <w:rPr>
                <w:color w:val="000000"/>
                <w:sz w:val="24"/>
                <w:szCs w:val="24"/>
              </w:rPr>
            </w:pPr>
            <w:r w:rsidDel="00000000" w:rsidR="00000000" w:rsidRPr="00000000">
              <w:rPr>
                <w:color w:val="000000"/>
                <w:rtl w:val="0"/>
              </w:rPr>
              <w:t xml:space="preserve">Huiles de cuisson </w:t>
            </w:r>
            <w:r w:rsidDel="00000000" w:rsidR="00000000" w:rsidRPr="00000000">
              <w:rPr>
                <w:rtl w:val="0"/>
              </w:rPr>
            </w:r>
          </w:p>
        </w:tc>
        <w:tc>
          <w:tcPr>
            <w:shd w:fill="auto" w:val="clear"/>
          </w:tcPr>
          <w:p w:rsidR="00000000" w:rsidDel="00000000" w:rsidP="00000000" w:rsidRDefault="00000000" w:rsidRPr="00000000" w14:paraId="000002B2">
            <w:pPr>
              <w:spacing w:after="0" w:line="240" w:lineRule="auto"/>
              <w:rPr>
                <w:color w:val="000000"/>
                <w:sz w:val="24"/>
                <w:szCs w:val="24"/>
              </w:rPr>
            </w:pPr>
            <w:r w:rsidDel="00000000" w:rsidR="00000000" w:rsidRPr="00000000">
              <w:rPr>
                <w:color w:val="000000"/>
                <w:rtl w:val="0"/>
              </w:rPr>
              <w:t xml:space="preserve">Prestataire de collecte de Paris 2024 </w:t>
            </w:r>
            <w:r w:rsidDel="00000000" w:rsidR="00000000" w:rsidRPr="00000000">
              <w:rPr>
                <w:rtl w:val="0"/>
              </w:rPr>
            </w:r>
          </w:p>
        </w:tc>
      </w:tr>
      <w:tr>
        <w:trPr>
          <w:cantSplit w:val="0"/>
          <w:trHeight w:val="300" w:hRule="atLeast"/>
          <w:tblHeader w:val="0"/>
        </w:trPr>
        <w:tc>
          <w:tcPr>
            <w:vMerge w:val="continue"/>
            <w:shd w:fill="cce1ff" w:val="clear"/>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shd w:fill="cce1ff" w:val="clear"/>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shd w:fill="cce1ff" w:val="clear"/>
          </w:tcPr>
          <w:p w:rsidR="00000000" w:rsidDel="00000000" w:rsidP="00000000" w:rsidRDefault="00000000" w:rsidRPr="00000000" w14:paraId="000002B5">
            <w:pPr>
              <w:spacing w:after="0" w:line="240" w:lineRule="auto"/>
              <w:rPr>
                <w:color w:val="000000"/>
              </w:rPr>
            </w:pPr>
            <w:r w:rsidDel="00000000" w:rsidR="00000000" w:rsidRPr="00000000">
              <w:rPr>
                <w:color w:val="000000"/>
                <w:rtl w:val="0"/>
              </w:rPr>
              <w:t xml:space="preserve">Equipements vétustes </w:t>
            </w:r>
          </w:p>
        </w:tc>
        <w:tc>
          <w:tcPr>
            <w:shd w:fill="cce1ff" w:val="clear"/>
          </w:tcPr>
          <w:p w:rsidR="00000000" w:rsidDel="00000000" w:rsidP="00000000" w:rsidRDefault="00000000" w:rsidRPr="00000000" w14:paraId="000002B6">
            <w:pPr>
              <w:spacing w:after="0" w:line="240" w:lineRule="auto"/>
              <w:rPr>
                <w:color w:val="000000"/>
              </w:rPr>
            </w:pPr>
            <w:r w:rsidDel="00000000" w:rsidR="00000000" w:rsidRPr="00000000">
              <w:rPr>
                <w:color w:val="000000"/>
                <w:rtl w:val="0"/>
              </w:rPr>
              <w:t xml:space="preserve">Candidat retenu  </w:t>
            </w:r>
          </w:p>
        </w:tc>
      </w:tr>
    </w:tbl>
    <w:p w:rsidR="00000000" w:rsidDel="00000000" w:rsidP="00000000" w:rsidRDefault="00000000" w:rsidRPr="00000000" w14:paraId="000002B7">
      <w:pPr>
        <w:pStyle w:val="Heading3"/>
        <w:rPr>
          <w:rFonts w:ascii="Paris2024" w:cs="Paris2024" w:eastAsia="Paris2024" w:hAnsi="Paris2024"/>
          <w:color w:val="006aff"/>
          <w:sz w:val="24"/>
          <w:szCs w:val="24"/>
        </w:rPr>
      </w:pPr>
      <w:bookmarkStart w:colFirst="0" w:colLast="0" w:name="_heading=h.2zbgiuw" w:id="56"/>
      <w:bookmarkEnd w:id="56"/>
      <w:r w:rsidDel="00000000" w:rsidR="00000000" w:rsidRPr="00000000">
        <w:rPr>
          <w:rFonts w:ascii="Paris2024" w:cs="Paris2024" w:eastAsia="Paris2024" w:hAnsi="Paris2024"/>
          <w:color w:val="006aff"/>
          <w:sz w:val="24"/>
          <w:szCs w:val="24"/>
          <w:rtl w:val="0"/>
        </w:rPr>
        <w:t xml:space="preserve">5.7.2 Les programmes contre le gaspillage alimentaire </w:t>
      </w:r>
    </w:p>
    <w:p w:rsidR="00000000" w:rsidDel="00000000" w:rsidP="00000000" w:rsidRDefault="00000000" w:rsidRPr="00000000" w14:paraId="000002B8">
      <w:pPr>
        <w:rPr>
          <w:rFonts w:ascii="Quattrocento Sans" w:cs="Quattrocento Sans" w:eastAsia="Quattrocento Sans" w:hAnsi="Quattrocento Sans"/>
          <w:color w:val="000000"/>
          <w:sz w:val="18"/>
          <w:szCs w:val="18"/>
        </w:rPr>
      </w:pPr>
      <w:r w:rsidDel="00000000" w:rsidR="00000000" w:rsidRPr="00000000">
        <w:rPr>
          <w:rtl w:val="0"/>
        </w:rPr>
        <w:t xml:space="preserve">Paris 2024 vise le zéro gaspillage alimentaire grâce à la valorisation des déchets issus de la restauration. Pour atteindre cet objectif, les deux pistes décrites ci-après sont à l’étude mais le Candidat est invité à soumettre d’autres idées pour une réduction efficace des déchets alimentaires (optimisation de la production &amp; de la gestion des chutes, valorisation du pain non-consommé etc.). </w:t>
      </w: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LA REDISTRIBUTION DES DENRÉES NON-CONSOMMÉES RÉCUPÉRABLES </w:t>
      </w:r>
    </w:p>
    <w:p w:rsidR="00000000" w:rsidDel="00000000" w:rsidP="00000000" w:rsidRDefault="00000000" w:rsidRPr="00000000" w14:paraId="000002BA">
      <w:pPr>
        <w:rPr>
          <w:sz w:val="18"/>
          <w:szCs w:val="18"/>
        </w:rPr>
      </w:pPr>
      <w:r w:rsidDel="00000000" w:rsidR="00000000" w:rsidRPr="00000000">
        <w:rPr>
          <w:rtl w:val="0"/>
        </w:rPr>
        <w:t xml:space="preserve">Paris 2024 souhaite mettre en place un programme de redistribution des denrées emballées dans leur packaging d’origine et / ou celles n’ayant pas subi une rupture de la chaîne du froid. Il est ainsi demandé au Candidat retenu de remettre tout produit ainsi récupérable à l’organisme à but non-lucratif choisi par Paris 2024 pour la collecte et redistribution. Ci-après une liste non-exhaustive des denrées susceptibles à être redistribuées : </w:t>
      </w:r>
      <w:r w:rsidDel="00000000" w:rsidR="00000000" w:rsidRPr="00000000">
        <w:rPr>
          <w:rtl w:val="0"/>
        </w:rPr>
      </w:r>
    </w:p>
    <w:p w:rsidR="00000000" w:rsidDel="00000000" w:rsidP="00000000" w:rsidRDefault="00000000" w:rsidRPr="00000000" w14:paraId="000002B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Produits emballés et stockés à température ambiante (conserves, paquets de pâtes, matière première en poudre telle que les farines / épices etc., barres céréales, briques de lait, bouteilles d’huile etc.) </w:t>
      </w:r>
      <w:r w:rsidDel="00000000" w:rsidR="00000000" w:rsidRPr="00000000">
        <w:rPr>
          <w:rtl w:val="0"/>
        </w:rPr>
      </w:r>
    </w:p>
    <w:p w:rsidR="00000000" w:rsidDel="00000000" w:rsidP="00000000" w:rsidRDefault="00000000" w:rsidRPr="00000000" w14:paraId="000002B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Produits frais dont la chaîne du froid a été maintenue en permanence (sandwichs frais, salades / crudités, produits laitiers à conditionnement individuel tel que les yaourts etc.)   </w:t>
      </w:r>
    </w:p>
    <w:p w:rsidR="00000000" w:rsidDel="00000000" w:rsidP="00000000" w:rsidRDefault="00000000" w:rsidRPr="00000000" w14:paraId="000002BD">
      <w:pPr>
        <w:rPr/>
      </w:pPr>
      <w:r w:rsidDel="00000000" w:rsidR="00000000" w:rsidRPr="00000000">
        <w:rPr>
          <w:rtl w:val="0"/>
        </w:rPr>
        <w:t xml:space="preserve">Les modalités de retrait des marchandises à récupérer sont définies ensemble entre le Candidat retenu, Paris 2024 et l’organisme choisi.  </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LE COMPOSTAGE OU LA MÉTHANISATION DES DÉCHETS ALIMENTAIRES  </w:t>
      </w:r>
    </w:p>
    <w:p w:rsidR="00000000" w:rsidDel="00000000" w:rsidP="00000000" w:rsidRDefault="00000000" w:rsidRPr="00000000" w14:paraId="000002BF">
      <w:pPr>
        <w:rPr>
          <w:sz w:val="18"/>
          <w:szCs w:val="18"/>
        </w:rPr>
      </w:pPr>
      <w:r w:rsidDel="00000000" w:rsidR="00000000" w:rsidRPr="00000000">
        <w:rPr>
          <w:rtl w:val="0"/>
        </w:rPr>
        <w:t xml:space="preserve">Le Candidat retenu s’engage à respecter scrupuleusement les consignes de tri des déchets afin de permettre à Paris 2024 de collecter l’ensemble des déchets alimentaires irrécupérables à la redistribution</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C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Chutes de découpe dans les offices &amp; cuisines </w:t>
      </w:r>
      <w:r w:rsidDel="00000000" w:rsidR="00000000" w:rsidRPr="00000000">
        <w:rPr>
          <w:rtl w:val="0"/>
        </w:rPr>
      </w:r>
    </w:p>
    <w:p w:rsidR="00000000" w:rsidDel="00000000" w:rsidP="00000000" w:rsidRDefault="00000000" w:rsidRPr="00000000" w14:paraId="000002C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Aliments préparés / cuits mais non-consommés en retour de zones de service </w:t>
      </w:r>
      <w:r w:rsidDel="00000000" w:rsidR="00000000" w:rsidRPr="00000000">
        <w:rPr>
          <w:rtl w:val="0"/>
        </w:rPr>
      </w:r>
    </w:p>
    <w:p w:rsidR="00000000" w:rsidDel="00000000" w:rsidP="00000000" w:rsidRDefault="00000000" w:rsidRPr="00000000" w14:paraId="000002C2">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Déchets alimentaires laissés par les convives </w:t>
      </w:r>
      <w:r w:rsidDel="00000000" w:rsidR="00000000" w:rsidRPr="00000000">
        <w:rPr>
          <w:rtl w:val="0"/>
        </w:rPr>
      </w:r>
    </w:p>
    <w:p w:rsidR="00000000" w:rsidDel="00000000" w:rsidP="00000000" w:rsidRDefault="00000000" w:rsidRPr="00000000" w14:paraId="000002C3">
      <w:pPr>
        <w:pStyle w:val="Heading3"/>
        <w:rPr>
          <w:rFonts w:ascii="Paris2024" w:cs="Paris2024" w:eastAsia="Paris2024" w:hAnsi="Paris2024"/>
          <w:color w:val="006aff"/>
          <w:sz w:val="24"/>
          <w:szCs w:val="24"/>
        </w:rPr>
      </w:pPr>
      <w:bookmarkStart w:colFirst="0" w:colLast="0" w:name="_heading=h.1egqt2p" w:id="57"/>
      <w:bookmarkEnd w:id="57"/>
      <w:r w:rsidDel="00000000" w:rsidR="00000000" w:rsidRPr="00000000">
        <w:rPr>
          <w:rFonts w:ascii="Paris2024" w:cs="Paris2024" w:eastAsia="Paris2024" w:hAnsi="Paris2024"/>
          <w:color w:val="006aff"/>
          <w:sz w:val="24"/>
          <w:szCs w:val="24"/>
          <w:rtl w:val="0"/>
        </w:rPr>
        <w:t xml:space="preserve">5.7.3 Le sourcing des consommables </w:t>
      </w:r>
    </w:p>
    <w:p w:rsidR="00000000" w:rsidDel="00000000" w:rsidP="00000000" w:rsidRDefault="00000000" w:rsidRPr="00000000" w14:paraId="000002C4">
      <w:pPr>
        <w:rPr/>
      </w:pPr>
      <w:r w:rsidDel="00000000" w:rsidR="00000000" w:rsidRPr="00000000">
        <w:rPr>
          <w:rtl w:val="0"/>
        </w:rPr>
        <w:t xml:space="preserve">Le Candidat retenu doit assurer une cohérence et être force de proposition pour veiller à l’origine de fabrication des consommables, dans le respect de la stratégie responsable des achats de Paris 2024.  Pour cela, les Candidats devront s’appuyer sur l’arbre décisionnel (en Annexe L) proposé par Paris 2024, et préciser à quel niveau d’exigence ils souhaitent répondre. </w:t>
      </w:r>
    </w:p>
    <w:p w:rsidR="00000000" w:rsidDel="00000000" w:rsidP="00000000" w:rsidRDefault="00000000" w:rsidRPr="00000000" w14:paraId="000002C5">
      <w:pPr>
        <w:rPr/>
      </w:pPr>
      <w:r w:rsidDel="00000000" w:rsidR="00000000" w:rsidRPr="00000000">
        <w:rPr>
          <w:rtl w:val="0"/>
        </w:rPr>
        <w:t xml:space="preserve">Un effort particulier doit être apporté sur la variété, l’homogénéité, la présentation, l’aspect convivial et chaleureux du contenant. </w:t>
      </w:r>
    </w:p>
    <w:p w:rsidR="00000000" w:rsidDel="00000000" w:rsidP="00000000" w:rsidRDefault="00000000" w:rsidRPr="00000000" w14:paraId="000002C6">
      <w:pPr>
        <w:rPr>
          <w:sz w:val="18"/>
          <w:szCs w:val="18"/>
        </w:rPr>
      </w:pPr>
      <w:r w:rsidDel="00000000" w:rsidR="00000000" w:rsidRPr="00000000">
        <w:rPr>
          <w:rtl w:val="0"/>
        </w:rPr>
        <w:t xml:space="preserve">Il est précisé que les consommables sont à la charge du Candidat retenu qui en assure la responsabilité de la gestion. Les consommables doivent être vierges de toute présence de logo / de marque. Seuls les visuels des Jeux validés par le CIO peuvent être utilisés. Paris 2024 se réserve le droit de demander au Candidat retenu les fiches techniques des consommables qu’il souhaite utiliser et de lui demander de modifier son sourcing le cas échéant. </w:t>
      </w:r>
      <w:r w:rsidDel="00000000" w:rsidR="00000000" w:rsidRPr="00000000">
        <w:rPr>
          <w:rtl w:val="0"/>
        </w:rPr>
      </w:r>
    </w:p>
    <w:p w:rsidR="00000000" w:rsidDel="00000000" w:rsidP="00000000" w:rsidRDefault="00000000" w:rsidRPr="00000000" w14:paraId="000002C7">
      <w:pPr>
        <w:pStyle w:val="Heading2"/>
        <w:rPr/>
      </w:pPr>
      <w:bookmarkStart w:colFirst="0" w:colLast="0" w:name="_heading=h.3ygebqi" w:id="58"/>
      <w:bookmarkEnd w:id="58"/>
      <w:r w:rsidDel="00000000" w:rsidR="00000000" w:rsidRPr="00000000">
        <w:rPr>
          <w:rtl w:val="0"/>
        </w:rPr>
        <w:t xml:space="preserve">5.8 Le nettoyage </w:t>
      </w:r>
    </w:p>
    <w:p w:rsidR="00000000" w:rsidDel="00000000" w:rsidP="00000000" w:rsidRDefault="00000000" w:rsidRPr="00000000" w14:paraId="000002C8">
      <w:pPr>
        <w:rPr/>
      </w:pPr>
      <w:r w:rsidDel="00000000" w:rsidR="00000000" w:rsidRPr="00000000">
        <w:rPr>
          <w:rtl w:val="0"/>
        </w:rPr>
        <w:t xml:space="preserve">Le Candidat retenu est l’unique responsable de la bonne tenue des zones de services de Catering (FOH) et zones techniques (BOH). La liste ci-après détaille les responsabilités du Candidat retenu. Cette liste est évolutive et non-exhaustive : </w:t>
      </w:r>
    </w:p>
    <w:p w:rsidR="00000000" w:rsidDel="00000000" w:rsidP="00000000" w:rsidRDefault="00000000" w:rsidRPr="00000000" w14:paraId="000002C9">
      <w:pPr>
        <w:rPr/>
      </w:pPr>
      <w:r w:rsidDel="00000000" w:rsidR="00000000" w:rsidRPr="00000000">
        <w:rPr>
          <w:rtl w:val="0"/>
        </w:rPr>
      </w:r>
    </w:p>
    <w:tbl>
      <w:tblPr>
        <w:tblStyle w:val="Table10"/>
        <w:tblW w:w="8475.0" w:type="dxa"/>
        <w:jc w:val="left"/>
        <w:tblLayout w:type="fixed"/>
        <w:tblLook w:val="0400"/>
      </w:tblPr>
      <w:tblGrid>
        <w:gridCol w:w="6675"/>
        <w:gridCol w:w="1800"/>
        <w:tblGridChange w:id="0">
          <w:tblGrid>
            <w:gridCol w:w="6675"/>
            <w:gridCol w:w="1800"/>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006aff" w:val="clear"/>
            <w:tcMar>
              <w:top w:w="15.0" w:type="dxa"/>
              <w:left w:w="15.0" w:type="dxa"/>
              <w:right w:w="15.0" w:type="dxa"/>
            </w:tcMar>
            <w:vAlign w:val="center"/>
          </w:tcPr>
          <w:p w:rsidR="00000000" w:rsidDel="00000000" w:rsidP="00000000" w:rsidRDefault="00000000" w:rsidRPr="00000000" w14:paraId="000002CA">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b w:val="1"/>
                <w:rtl w:val="0"/>
              </w:rPr>
              <w:t xml:space="preserve">Eléments à nettoyer </w:t>
            </w:r>
            <w:r w:rsidDel="00000000" w:rsidR="00000000" w:rsidRPr="00000000">
              <w:rPr>
                <w:rFonts w:ascii="Source Sans Pro Light" w:cs="Source Sans Pro Light" w:eastAsia="Source Sans Pro Light" w:hAnsi="Source Sans Pro Light"/>
                <w:rtl w:val="0"/>
              </w:rPr>
              <w:t xml:space="preserve"> </w:t>
            </w:r>
          </w:p>
        </w:tc>
        <w:tc>
          <w:tcPr>
            <w:tcBorders>
              <w:top w:color="000000" w:space="0" w:sz="8" w:val="single"/>
              <w:left w:color="000000" w:space="0" w:sz="8" w:val="single"/>
              <w:bottom w:color="000000" w:space="0" w:sz="8" w:val="single"/>
              <w:right w:color="000000" w:space="0" w:sz="8" w:val="single"/>
            </w:tcBorders>
            <w:shd w:fill="006aff" w:val="clear"/>
            <w:tcMar>
              <w:top w:w="15.0" w:type="dxa"/>
              <w:left w:w="15.0" w:type="dxa"/>
              <w:right w:w="15.0" w:type="dxa"/>
            </w:tcMar>
            <w:vAlign w:val="center"/>
          </w:tcPr>
          <w:p w:rsidR="00000000" w:rsidDel="00000000" w:rsidP="00000000" w:rsidRDefault="00000000" w:rsidRPr="00000000" w14:paraId="000002CB">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b w:val="1"/>
                <w:rtl w:val="0"/>
              </w:rPr>
              <w:t xml:space="preserve">Candidat retenu </w:t>
            </w:r>
            <w:r w:rsidDel="00000000" w:rsidR="00000000" w:rsidRPr="00000000">
              <w:rPr>
                <w:rFonts w:ascii="Source Sans Pro Light" w:cs="Source Sans Pro Light" w:eastAsia="Source Sans Pro Light" w:hAnsi="Source Sans Pro Light"/>
                <w:rtl w:val="0"/>
              </w:rPr>
              <w:t xml:space="preserve"> </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CC">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L’ensemble des équipements de cuisine (FOH &amp; BOH)</w:t>
            </w:r>
            <w:r w:rsidDel="00000000" w:rsidR="00000000" w:rsidRPr="00000000">
              <w:rPr>
                <w:rFonts w:ascii="Source Sans Pro Light" w:cs="Source Sans Pro Light" w:eastAsia="Source Sans Pro Light" w:hAnsi="Source Sans Pro Light"/>
                <w:b w:val="1"/>
                <w:rtl w:val="0"/>
              </w:rPr>
              <w:t xml:space="preserve"> </w:t>
            </w:r>
            <w:r w:rsidDel="00000000" w:rsidR="00000000" w:rsidRPr="00000000">
              <w:rPr>
                <w:rFonts w:ascii="Source Sans Pro Light" w:cs="Source Sans Pro Light" w:eastAsia="Source Sans Pro Light" w:hAnsi="Source Sans Pro Light"/>
                <w:rtl w:val="0"/>
              </w:rPr>
              <w:t xml:space="preserve"> </w:t>
            </w:r>
          </w:p>
        </w:tc>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CD">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X  </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15.0" w:type="dxa"/>
              <w:left w:w="15.0" w:type="dxa"/>
              <w:right w:w="15.0" w:type="dxa"/>
            </w:tcMar>
            <w:vAlign w:val="center"/>
          </w:tcPr>
          <w:p w:rsidR="00000000" w:rsidDel="00000000" w:rsidP="00000000" w:rsidRDefault="00000000" w:rsidRPr="00000000" w14:paraId="000002CE">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L’ensemble des équipements de service (buffets, plateaux…)</w:t>
            </w:r>
            <w:r w:rsidDel="00000000" w:rsidR="00000000" w:rsidRPr="00000000">
              <w:rPr>
                <w:rFonts w:ascii="Source Sans Pro Light" w:cs="Source Sans Pro Light" w:eastAsia="Source Sans Pro Light" w:hAnsi="Source Sans Pro Light"/>
                <w:b w:val="1"/>
                <w:rtl w:val="0"/>
              </w:rPr>
              <w:t xml:space="preserve"> </w:t>
            </w:r>
            <w:r w:rsidDel="00000000" w:rsidR="00000000" w:rsidRPr="00000000">
              <w:rPr>
                <w:rFonts w:ascii="Source Sans Pro Light" w:cs="Source Sans Pro Light" w:eastAsia="Source Sans Pro Light" w:hAnsi="Source Sans Pro Light"/>
                <w:rtl w:val="0"/>
              </w:rPr>
              <w:t xml:space="preserve"> </w:t>
            </w:r>
          </w:p>
        </w:tc>
        <w:tc>
          <w:tcPr>
            <w:tcBorders>
              <w:top w:color="000000" w:space="0" w:sz="8" w:val="single"/>
              <w:left w:color="000000" w:space="0" w:sz="8" w:val="single"/>
              <w:bottom w:color="000000" w:space="0" w:sz="8" w:val="single"/>
              <w:right w:color="000000" w:space="0" w:sz="8" w:val="single"/>
            </w:tcBorders>
            <w:tcMar>
              <w:top w:w="15.0" w:type="dxa"/>
              <w:left w:w="15.0" w:type="dxa"/>
              <w:right w:w="15.0" w:type="dxa"/>
            </w:tcMar>
            <w:vAlign w:val="center"/>
          </w:tcPr>
          <w:p w:rsidR="00000000" w:rsidDel="00000000" w:rsidP="00000000" w:rsidRDefault="00000000" w:rsidRPr="00000000" w14:paraId="000002CF">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X  </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D0">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L’ensemble des cuisines, offices et zones de stockage</w:t>
            </w:r>
            <w:r w:rsidDel="00000000" w:rsidR="00000000" w:rsidRPr="00000000">
              <w:rPr>
                <w:rFonts w:ascii="Source Sans Pro Light" w:cs="Source Sans Pro Light" w:eastAsia="Source Sans Pro Light" w:hAnsi="Source Sans Pro Light"/>
                <w:b w:val="1"/>
                <w:rtl w:val="0"/>
              </w:rPr>
              <w:t xml:space="preserve"> </w:t>
            </w:r>
            <w:r w:rsidDel="00000000" w:rsidR="00000000" w:rsidRPr="00000000">
              <w:rPr>
                <w:rFonts w:ascii="Source Sans Pro Light" w:cs="Source Sans Pro Light" w:eastAsia="Source Sans Pro Light" w:hAnsi="Source Sans Pro Light"/>
                <w:rtl w:val="0"/>
              </w:rPr>
              <w:t xml:space="preserve"> </w:t>
            </w:r>
          </w:p>
        </w:tc>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D1">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X  </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15.0" w:type="dxa"/>
              <w:left w:w="15.0" w:type="dxa"/>
              <w:right w:w="15.0" w:type="dxa"/>
            </w:tcMar>
            <w:vAlign w:val="center"/>
          </w:tcPr>
          <w:p w:rsidR="00000000" w:rsidDel="00000000" w:rsidP="00000000" w:rsidRDefault="00000000" w:rsidRPr="00000000" w14:paraId="000002D2">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Les tables et chaises dans les salles de réception </w:t>
            </w:r>
          </w:p>
        </w:tc>
        <w:tc>
          <w:tcPr>
            <w:tcBorders>
              <w:top w:color="000000" w:space="0" w:sz="8" w:val="single"/>
              <w:left w:color="000000" w:space="0" w:sz="8" w:val="single"/>
              <w:bottom w:color="000000" w:space="0" w:sz="8" w:val="single"/>
              <w:right w:color="000000" w:space="0" w:sz="8" w:val="single"/>
            </w:tcBorders>
            <w:tcMar>
              <w:top w:w="15.0" w:type="dxa"/>
              <w:left w:w="15.0" w:type="dxa"/>
              <w:right w:w="15.0" w:type="dxa"/>
            </w:tcMar>
            <w:vAlign w:val="center"/>
          </w:tcPr>
          <w:p w:rsidR="00000000" w:rsidDel="00000000" w:rsidP="00000000" w:rsidRDefault="00000000" w:rsidRPr="00000000" w14:paraId="000002D3">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X  </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D4">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Les tables de débarrassage</w:t>
            </w:r>
            <w:r w:rsidDel="00000000" w:rsidR="00000000" w:rsidRPr="00000000">
              <w:rPr>
                <w:rFonts w:ascii="Source Sans Pro Light" w:cs="Source Sans Pro Light" w:eastAsia="Source Sans Pro Light" w:hAnsi="Source Sans Pro Light"/>
                <w:b w:val="1"/>
                <w:rtl w:val="0"/>
              </w:rPr>
              <w:t xml:space="preserve"> </w:t>
            </w:r>
            <w:r w:rsidDel="00000000" w:rsidR="00000000" w:rsidRPr="00000000">
              <w:rPr>
                <w:rFonts w:ascii="Source Sans Pro Light" w:cs="Source Sans Pro Light" w:eastAsia="Source Sans Pro Light" w:hAnsi="Source Sans Pro Light"/>
                <w:rtl w:val="0"/>
              </w:rPr>
              <w:t xml:space="preserve"> </w:t>
            </w:r>
          </w:p>
        </w:tc>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D5">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X  </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15.0" w:type="dxa"/>
              <w:left w:w="15.0" w:type="dxa"/>
              <w:right w:w="15.0" w:type="dxa"/>
            </w:tcMar>
            <w:vAlign w:val="center"/>
          </w:tcPr>
          <w:p w:rsidR="00000000" w:rsidDel="00000000" w:rsidP="00000000" w:rsidRDefault="00000000" w:rsidRPr="00000000" w14:paraId="000002D6">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Les vitres au sein des espaces de restauration</w:t>
            </w:r>
            <w:r w:rsidDel="00000000" w:rsidR="00000000" w:rsidRPr="00000000">
              <w:rPr>
                <w:rFonts w:ascii="Source Sans Pro Light" w:cs="Source Sans Pro Light" w:eastAsia="Source Sans Pro Light" w:hAnsi="Source Sans Pro Light"/>
                <w:b w:val="1"/>
                <w:rtl w:val="0"/>
              </w:rPr>
              <w:t xml:space="preserve"> </w:t>
            </w:r>
            <w:r w:rsidDel="00000000" w:rsidR="00000000" w:rsidRPr="00000000">
              <w:rPr>
                <w:rFonts w:ascii="Source Sans Pro Light" w:cs="Source Sans Pro Light" w:eastAsia="Source Sans Pro Light" w:hAnsi="Source Sans Pro Light"/>
                <w:rtl w:val="0"/>
              </w:rPr>
              <w:t xml:space="preserve"> </w:t>
            </w:r>
          </w:p>
        </w:tc>
        <w:tc>
          <w:tcPr>
            <w:tcBorders>
              <w:top w:color="000000" w:space="0" w:sz="8" w:val="single"/>
              <w:left w:color="000000" w:space="0" w:sz="8" w:val="single"/>
              <w:bottom w:color="000000" w:space="0" w:sz="8" w:val="single"/>
              <w:right w:color="000000" w:space="0" w:sz="8" w:val="single"/>
            </w:tcBorders>
            <w:tcMar>
              <w:top w:w="15.0" w:type="dxa"/>
              <w:left w:w="15.0" w:type="dxa"/>
              <w:right w:w="15.0" w:type="dxa"/>
            </w:tcMar>
            <w:vAlign w:val="center"/>
          </w:tcPr>
          <w:p w:rsidR="00000000" w:rsidDel="00000000" w:rsidP="00000000" w:rsidRDefault="00000000" w:rsidRPr="00000000" w14:paraId="000002D7">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X  </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D8">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Les couloirs de service entre les cuisines &amp; les salles</w:t>
            </w:r>
            <w:r w:rsidDel="00000000" w:rsidR="00000000" w:rsidRPr="00000000">
              <w:rPr>
                <w:rFonts w:ascii="Source Sans Pro Light" w:cs="Source Sans Pro Light" w:eastAsia="Source Sans Pro Light" w:hAnsi="Source Sans Pro Light"/>
                <w:b w:val="1"/>
                <w:rtl w:val="0"/>
              </w:rPr>
              <w:t xml:space="preserve"> </w:t>
            </w:r>
            <w:r w:rsidDel="00000000" w:rsidR="00000000" w:rsidRPr="00000000">
              <w:rPr>
                <w:rFonts w:ascii="Source Sans Pro Light" w:cs="Source Sans Pro Light" w:eastAsia="Source Sans Pro Light" w:hAnsi="Source Sans Pro Light"/>
                <w:rtl w:val="0"/>
              </w:rPr>
              <w:t xml:space="preserve"> </w:t>
            </w:r>
          </w:p>
        </w:tc>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D9">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X  </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15.0" w:type="dxa"/>
              <w:left w:w="15.0" w:type="dxa"/>
              <w:right w:w="15.0" w:type="dxa"/>
            </w:tcMar>
            <w:vAlign w:val="center"/>
          </w:tcPr>
          <w:p w:rsidR="00000000" w:rsidDel="00000000" w:rsidP="00000000" w:rsidRDefault="00000000" w:rsidRPr="00000000" w14:paraId="000002DA">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Les quais de déchargement (si dédiés à l’activité)</w:t>
            </w:r>
            <w:r w:rsidDel="00000000" w:rsidR="00000000" w:rsidRPr="00000000">
              <w:rPr>
                <w:rFonts w:ascii="Source Sans Pro Light" w:cs="Source Sans Pro Light" w:eastAsia="Source Sans Pro Light" w:hAnsi="Source Sans Pro Light"/>
                <w:b w:val="1"/>
                <w:rtl w:val="0"/>
              </w:rPr>
              <w:t xml:space="preserve"> </w:t>
            </w:r>
            <w:r w:rsidDel="00000000" w:rsidR="00000000" w:rsidRPr="00000000">
              <w:rPr>
                <w:rFonts w:ascii="Source Sans Pro Light" w:cs="Source Sans Pro Light" w:eastAsia="Source Sans Pro Light" w:hAnsi="Source Sans Pro Light"/>
                <w:rtl w:val="0"/>
              </w:rPr>
              <w:t xml:space="preserve"> </w:t>
            </w:r>
          </w:p>
        </w:tc>
        <w:tc>
          <w:tcPr>
            <w:tcBorders>
              <w:top w:color="000000" w:space="0" w:sz="8" w:val="single"/>
              <w:left w:color="000000" w:space="0" w:sz="8" w:val="single"/>
              <w:bottom w:color="000000" w:space="0" w:sz="8" w:val="single"/>
              <w:right w:color="000000" w:space="0" w:sz="8" w:val="single"/>
            </w:tcBorders>
            <w:tcMar>
              <w:top w:w="15.0" w:type="dxa"/>
              <w:left w:w="15.0" w:type="dxa"/>
              <w:right w:w="15.0" w:type="dxa"/>
            </w:tcMar>
            <w:vAlign w:val="center"/>
          </w:tcPr>
          <w:p w:rsidR="00000000" w:rsidDel="00000000" w:rsidP="00000000" w:rsidRDefault="00000000" w:rsidRPr="00000000" w14:paraId="000002DB">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X  </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DC">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Les sols, murs &amp; portes des salles de réception (FOH)</w:t>
            </w:r>
            <w:r w:rsidDel="00000000" w:rsidR="00000000" w:rsidRPr="00000000">
              <w:rPr>
                <w:rFonts w:ascii="Source Sans Pro Light" w:cs="Source Sans Pro Light" w:eastAsia="Source Sans Pro Light" w:hAnsi="Source Sans Pro Light"/>
                <w:b w:val="1"/>
                <w:rtl w:val="0"/>
              </w:rPr>
              <w:t xml:space="preserve"> </w:t>
            </w:r>
            <w:r w:rsidDel="00000000" w:rsidR="00000000" w:rsidRPr="00000000">
              <w:rPr>
                <w:rFonts w:ascii="Source Sans Pro Light" w:cs="Source Sans Pro Light" w:eastAsia="Source Sans Pro Light" w:hAnsi="Source Sans Pro Light"/>
                <w:rtl w:val="0"/>
              </w:rPr>
              <w:t xml:space="preserve"> </w:t>
            </w:r>
          </w:p>
        </w:tc>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DD">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X  </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15.0" w:type="dxa"/>
              <w:left w:w="15.0" w:type="dxa"/>
              <w:right w:w="15.0" w:type="dxa"/>
            </w:tcMar>
            <w:vAlign w:val="center"/>
          </w:tcPr>
          <w:p w:rsidR="00000000" w:rsidDel="00000000" w:rsidP="00000000" w:rsidRDefault="00000000" w:rsidRPr="00000000" w14:paraId="000002DE">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L’ensemble des conteneurs à déchet en BOH </w:t>
            </w:r>
          </w:p>
        </w:tc>
        <w:tc>
          <w:tcPr>
            <w:tcBorders>
              <w:top w:color="000000" w:space="0" w:sz="8" w:val="single"/>
              <w:left w:color="000000" w:space="0" w:sz="8" w:val="single"/>
              <w:bottom w:color="000000" w:space="0" w:sz="8" w:val="single"/>
              <w:right w:color="000000" w:space="0" w:sz="8" w:val="single"/>
            </w:tcBorders>
            <w:tcMar>
              <w:top w:w="15.0" w:type="dxa"/>
              <w:left w:w="15.0" w:type="dxa"/>
              <w:right w:w="15.0" w:type="dxa"/>
            </w:tcMar>
            <w:vAlign w:val="center"/>
          </w:tcPr>
          <w:p w:rsidR="00000000" w:rsidDel="00000000" w:rsidP="00000000" w:rsidRDefault="00000000" w:rsidRPr="00000000" w14:paraId="000002DF">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X  </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E0">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Remplacement des sacs poubelles et nettoyage des poubelles si nécessaire</w:t>
            </w:r>
          </w:p>
        </w:tc>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E1">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X   </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15.0" w:type="dxa"/>
              <w:left w:w="15.0" w:type="dxa"/>
              <w:right w:w="15.0" w:type="dxa"/>
            </w:tcMar>
            <w:vAlign w:val="center"/>
          </w:tcPr>
          <w:p w:rsidR="00000000" w:rsidDel="00000000" w:rsidP="00000000" w:rsidRDefault="00000000" w:rsidRPr="00000000" w14:paraId="000002E2">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Acheminement et tri des déchets jusqu'aux espaces dédiés à proximité</w:t>
            </w:r>
          </w:p>
        </w:tc>
        <w:tc>
          <w:tcPr>
            <w:tcBorders>
              <w:top w:color="000000" w:space="0" w:sz="8" w:val="single"/>
              <w:left w:color="000000" w:space="0" w:sz="8" w:val="single"/>
              <w:bottom w:color="000000" w:space="0" w:sz="8" w:val="single"/>
              <w:right w:color="000000" w:space="0" w:sz="8" w:val="single"/>
            </w:tcBorders>
            <w:tcMar>
              <w:top w:w="15.0" w:type="dxa"/>
              <w:left w:w="15.0" w:type="dxa"/>
              <w:right w:w="15.0" w:type="dxa"/>
            </w:tcMar>
            <w:vAlign w:val="center"/>
          </w:tcPr>
          <w:p w:rsidR="00000000" w:rsidDel="00000000" w:rsidP="00000000" w:rsidRDefault="00000000" w:rsidRPr="00000000" w14:paraId="000002E3">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X   </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E4">
            <w:pPr>
              <w:spacing w:after="0" w:lineRule="auto"/>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Ramassage des déchets à l'intérieur des concessions et cuisines</w:t>
            </w:r>
          </w:p>
        </w:tc>
        <w:tc>
          <w:tcPr>
            <w:tcBorders>
              <w:top w:color="000000" w:space="0" w:sz="8" w:val="single"/>
              <w:left w:color="000000" w:space="0" w:sz="8" w:val="single"/>
              <w:bottom w:color="000000" w:space="0" w:sz="8" w:val="single"/>
              <w:right w:color="000000" w:space="0" w:sz="8" w:val="single"/>
            </w:tcBorders>
            <w:shd w:fill="cce1ff" w:val="clear"/>
            <w:tcMar>
              <w:top w:w="15.0" w:type="dxa"/>
              <w:left w:w="15.0" w:type="dxa"/>
              <w:right w:w="15.0" w:type="dxa"/>
            </w:tcMar>
            <w:vAlign w:val="center"/>
          </w:tcPr>
          <w:p w:rsidR="00000000" w:rsidDel="00000000" w:rsidP="00000000" w:rsidRDefault="00000000" w:rsidRPr="00000000" w14:paraId="000002E5">
            <w:pPr>
              <w:spacing w:after="0" w:lineRule="auto"/>
              <w:jc w:val="center"/>
              <w:rPr>
                <w:rFonts w:ascii="Source Sans Pro Light" w:cs="Source Sans Pro Light" w:eastAsia="Source Sans Pro Light" w:hAnsi="Source Sans Pro Light"/>
              </w:rPr>
            </w:pPr>
            <w:r w:rsidDel="00000000" w:rsidR="00000000" w:rsidRPr="00000000">
              <w:rPr>
                <w:rFonts w:ascii="Source Sans Pro Light" w:cs="Source Sans Pro Light" w:eastAsia="Source Sans Pro Light" w:hAnsi="Source Sans Pro Light"/>
                <w:rtl w:val="0"/>
              </w:rPr>
              <w:t xml:space="preserve">X   </w:t>
            </w:r>
          </w:p>
        </w:tc>
      </w:tr>
    </w:tbl>
    <w:p w:rsidR="00000000" w:rsidDel="00000000" w:rsidP="00000000" w:rsidRDefault="00000000" w:rsidRPr="00000000" w14:paraId="000002E6">
      <w:pPr>
        <w:spacing w:after="0" w:line="240" w:lineRule="auto"/>
        <w:rPr>
          <w:rFonts w:ascii="Quattrocento Sans" w:cs="Quattrocento Sans" w:eastAsia="Quattrocento Sans" w:hAnsi="Quattrocento Sans"/>
          <w:color w:val="000000"/>
          <w:sz w:val="18"/>
          <w:szCs w:val="18"/>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Le Candidat retenu a la charge de l’ensemble des produits de nettoyage et de désinfection (détergents, désinfectants, brosses, raclettes, lavette microfibre, papiers à usage unique, etc.) qui lui sont nécessaires à la réalisation des tâches qui lui incombent. Cette catégorie de produits peut faire l’objet d’un droit de fourniture exclusif auprès d’un Partenaire Marketing. </w:t>
      </w:r>
    </w:p>
    <w:p w:rsidR="00000000" w:rsidDel="00000000" w:rsidP="00000000" w:rsidRDefault="00000000" w:rsidRPr="00000000" w14:paraId="000002E8">
      <w:pPr>
        <w:rPr/>
      </w:pPr>
      <w:r w:rsidDel="00000000" w:rsidR="00000000" w:rsidRPr="00000000">
        <w:rPr>
          <w:rtl w:val="0"/>
        </w:rPr>
        <w:t xml:space="preserve">Paris 2024 attend du Candidat retenu qu’il utilise une gamme de produits d’entretien écolabellisés et adaptés à son usage, sans substance toxique ou nocive (par exemple : nettoyage et désinfection des étuves, des tables en inox, des frigos, matériels individuels et collectifs, etc.). </w:t>
      </w:r>
    </w:p>
    <w:tbl>
      <w:tblPr>
        <w:tblStyle w:val="Table11"/>
        <w:tblW w:w="9864.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513"/>
        <w:gridCol w:w="2833"/>
        <w:gridCol w:w="4518"/>
        <w:tblGridChange w:id="0">
          <w:tblGrid>
            <w:gridCol w:w="2513"/>
            <w:gridCol w:w="2833"/>
            <w:gridCol w:w="4518"/>
          </w:tblGrid>
        </w:tblGridChange>
      </w:tblGrid>
      <w:tr>
        <w:trPr>
          <w:cantSplit w:val="0"/>
          <w:trHeight w:val="243" w:hRule="atLeast"/>
          <w:tblHeader w:val="0"/>
        </w:trPr>
        <w:tc>
          <w:tcPr>
            <w:tcBorders>
              <w:top w:color="000000" w:space="0" w:sz="6" w:val="single"/>
              <w:left w:color="000000" w:space="0" w:sz="6" w:val="single"/>
              <w:bottom w:color="000000" w:space="0" w:sz="6" w:val="single"/>
              <w:right w:color="a6a6a6" w:space="0" w:sz="6" w:val="single"/>
            </w:tcBorders>
            <w:shd w:fill="auto" w:val="clear"/>
            <w:vAlign w:val="center"/>
          </w:tcPr>
          <w:p w:rsidR="00000000" w:rsidDel="00000000" w:rsidP="00000000" w:rsidRDefault="00000000" w:rsidRPr="00000000" w14:paraId="000002E9">
            <w:pPr>
              <w:spacing w:after="0" w:line="240" w:lineRule="auto"/>
              <w:jc w:val="center"/>
              <w:rPr>
                <w:color w:val="000000"/>
                <w:sz w:val="24"/>
                <w:szCs w:val="24"/>
              </w:rPr>
            </w:pPr>
            <w:r w:rsidDel="00000000" w:rsidR="00000000" w:rsidRPr="00000000">
              <w:rPr>
                <w:b w:val="1"/>
                <w:color w:val="000000"/>
                <w:sz w:val="18"/>
                <w:szCs w:val="18"/>
                <w:rtl w:val="0"/>
              </w:rPr>
              <w:t xml:space="preserve">ARTICLE</w:t>
            </w:r>
            <w:r w:rsidDel="00000000" w:rsidR="00000000" w:rsidRPr="00000000">
              <w:rPr>
                <w:color w:val="000000"/>
                <w:sz w:val="18"/>
                <w:szCs w:val="18"/>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EA">
            <w:pPr>
              <w:spacing w:after="0" w:line="240" w:lineRule="auto"/>
              <w:jc w:val="center"/>
              <w:rPr>
                <w:color w:val="000000"/>
                <w:sz w:val="24"/>
                <w:szCs w:val="24"/>
              </w:rPr>
            </w:pPr>
            <w:r w:rsidDel="00000000" w:rsidR="00000000" w:rsidRPr="00000000">
              <w:rPr>
                <w:b w:val="1"/>
                <w:color w:val="000000"/>
                <w:sz w:val="18"/>
                <w:szCs w:val="18"/>
                <w:rtl w:val="0"/>
              </w:rPr>
              <w:t xml:space="preserve">Critères environnementaux attendus</w:t>
            </w:r>
            <w:r w:rsidDel="00000000" w:rsidR="00000000" w:rsidRPr="00000000">
              <w:rPr>
                <w:color w:val="000000"/>
                <w:sz w:val="18"/>
                <w:szCs w:val="18"/>
                <w:rtl w:val="0"/>
              </w:rPr>
              <w:t xml:space="preserve"> </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auto" w:val="clear"/>
            <w:vAlign w:val="center"/>
          </w:tcPr>
          <w:p w:rsidR="00000000" w:rsidDel="00000000" w:rsidP="00000000" w:rsidRDefault="00000000" w:rsidRPr="00000000" w14:paraId="000002EB">
            <w:pPr>
              <w:spacing w:after="0" w:line="240" w:lineRule="auto"/>
              <w:jc w:val="center"/>
              <w:rPr>
                <w:color w:val="000000"/>
                <w:sz w:val="24"/>
                <w:szCs w:val="24"/>
              </w:rPr>
            </w:pPr>
            <w:r w:rsidDel="00000000" w:rsidR="00000000" w:rsidRPr="00000000">
              <w:rPr>
                <w:b w:val="1"/>
                <w:color w:val="000000"/>
                <w:sz w:val="18"/>
                <w:szCs w:val="18"/>
                <w:rtl w:val="0"/>
              </w:rPr>
              <w:t xml:space="preserve">Variante critères environnementaux attendus (optionnel)</w:t>
            </w:r>
            <w:r w:rsidDel="00000000" w:rsidR="00000000" w:rsidRPr="00000000">
              <w:rPr>
                <w:color w:val="000000"/>
                <w:sz w:val="18"/>
                <w:szCs w:val="18"/>
                <w:rtl w:val="0"/>
              </w:rPr>
              <w:t xml:space="preserve"> </w:t>
            </w:r>
            <w:r w:rsidDel="00000000" w:rsidR="00000000" w:rsidRPr="00000000">
              <w:rPr>
                <w:rtl w:val="0"/>
              </w:rPr>
            </w:r>
          </w:p>
        </w:tc>
      </w:tr>
      <w:tr>
        <w:trPr>
          <w:cantSplit w:val="0"/>
          <w:trHeight w:val="264"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EC">
            <w:pPr>
              <w:spacing w:after="0" w:line="240" w:lineRule="auto"/>
              <w:jc w:val="left"/>
              <w:rPr>
                <w:color w:val="000000"/>
                <w:sz w:val="24"/>
                <w:szCs w:val="24"/>
              </w:rPr>
            </w:pPr>
            <w:r w:rsidDel="00000000" w:rsidR="00000000" w:rsidRPr="00000000">
              <w:rPr>
                <w:color w:val="000000"/>
                <w:sz w:val="18"/>
                <w:szCs w:val="18"/>
                <w:rtl w:val="0"/>
              </w:rPr>
              <w:t xml:space="preserve">Détergent désinfectant surfaces cuisine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ED">
            <w:pPr>
              <w:spacing w:after="0" w:line="240" w:lineRule="auto"/>
              <w:jc w:val="left"/>
              <w:rPr>
                <w:color w:val="000000"/>
                <w:sz w:val="24"/>
                <w:szCs w:val="24"/>
              </w:rPr>
            </w:pPr>
            <w:r w:rsidDel="00000000" w:rsidR="00000000" w:rsidRPr="00000000">
              <w:rPr>
                <w:color w:val="000000"/>
                <w:sz w:val="18"/>
                <w:szCs w:val="18"/>
                <w:rtl w:val="0"/>
              </w:rPr>
              <w:t xml:space="preserve">• Ecocert ou exigences équivalentes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EE">
            <w:pPr>
              <w:spacing w:after="0" w:line="240" w:lineRule="auto"/>
              <w:jc w:val="left"/>
              <w:rPr>
                <w:color w:val="000000"/>
                <w:sz w:val="24"/>
                <w:szCs w:val="24"/>
              </w:rPr>
            </w:pPr>
            <w:r w:rsidDel="00000000" w:rsidR="00000000" w:rsidRPr="00000000">
              <w:rPr>
                <w:color w:val="000000"/>
                <w:sz w:val="18"/>
                <w:szCs w:val="18"/>
                <w:rtl w:val="0"/>
              </w:rPr>
              <w:t xml:space="preserve">• Chimie végétale ou biodégradabilité supérieure aux critères réglementaires </w:t>
              <w:br w:type="textWrapping"/>
              <w:t xml:space="preserve">• Emballage recyclable </w:t>
            </w: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5">
            <w:pPr>
              <w:spacing w:after="0" w:line="240" w:lineRule="auto"/>
              <w:jc w:val="left"/>
              <w:rPr>
                <w:color w:val="000000"/>
                <w:sz w:val="24"/>
                <w:szCs w:val="24"/>
              </w:rPr>
            </w:pPr>
            <w:r w:rsidDel="00000000" w:rsidR="00000000" w:rsidRPr="00000000">
              <w:rPr>
                <w:color w:val="000000"/>
                <w:sz w:val="18"/>
                <w:szCs w:val="18"/>
                <w:rtl w:val="0"/>
              </w:rPr>
              <w:t xml:space="preserve">Dégraissant surfaces cuisine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6">
            <w:pPr>
              <w:spacing w:after="0" w:line="240" w:lineRule="auto"/>
              <w:jc w:val="left"/>
              <w:rPr>
                <w:color w:val="000000"/>
                <w:sz w:val="24"/>
                <w:szCs w:val="24"/>
              </w:rPr>
            </w:pPr>
            <w:r w:rsidDel="00000000" w:rsidR="00000000" w:rsidRPr="00000000">
              <w:rPr>
                <w:color w:val="000000"/>
                <w:sz w:val="18"/>
                <w:szCs w:val="18"/>
                <w:rtl w:val="0"/>
              </w:rPr>
              <w:t xml:space="preserve">• Ecocert ou exigences équivalentes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7">
            <w:pPr>
              <w:spacing w:after="0" w:line="240" w:lineRule="auto"/>
              <w:jc w:val="left"/>
              <w:rPr>
                <w:color w:val="000000"/>
                <w:sz w:val="24"/>
                <w:szCs w:val="24"/>
              </w:rPr>
            </w:pPr>
            <w:r w:rsidDel="00000000" w:rsidR="00000000" w:rsidRPr="00000000">
              <w:rPr>
                <w:color w:val="000000"/>
                <w:sz w:val="18"/>
                <w:szCs w:val="18"/>
                <w:rtl w:val="0"/>
              </w:rPr>
              <w:t xml:space="preserve">• Chimie végétale ou biodégradabilité supérieure aux critères réglementaires </w:t>
              <w:br w:type="textWrapping"/>
              <w:t xml:space="preserve">• Emballage recyclable </w:t>
            </w: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E">
            <w:pPr>
              <w:spacing w:after="0" w:line="240" w:lineRule="auto"/>
              <w:jc w:val="left"/>
              <w:rPr>
                <w:color w:val="000000"/>
                <w:sz w:val="24"/>
                <w:szCs w:val="24"/>
              </w:rPr>
            </w:pPr>
            <w:r w:rsidDel="00000000" w:rsidR="00000000" w:rsidRPr="00000000">
              <w:rPr>
                <w:color w:val="000000"/>
                <w:sz w:val="18"/>
                <w:szCs w:val="18"/>
                <w:rtl w:val="0"/>
              </w:rPr>
              <w:t xml:space="preserve">Détartrant contact alimentaire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FF">
            <w:pPr>
              <w:spacing w:after="0" w:line="240" w:lineRule="auto"/>
              <w:jc w:val="left"/>
              <w:rPr>
                <w:color w:val="000000"/>
                <w:sz w:val="24"/>
                <w:szCs w:val="24"/>
              </w:rPr>
            </w:pPr>
            <w:r w:rsidDel="00000000" w:rsidR="00000000" w:rsidRPr="00000000">
              <w:rPr>
                <w:color w:val="000000"/>
                <w:sz w:val="18"/>
                <w:szCs w:val="18"/>
                <w:rtl w:val="0"/>
              </w:rPr>
              <w:t xml:space="preserve">• Ecocert ou exigences équivalentes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0">
            <w:pPr>
              <w:spacing w:after="0" w:line="240" w:lineRule="auto"/>
              <w:jc w:val="left"/>
              <w:rPr>
                <w:color w:val="000000"/>
                <w:sz w:val="24"/>
                <w:szCs w:val="24"/>
              </w:rPr>
            </w:pPr>
            <w:r w:rsidDel="00000000" w:rsidR="00000000" w:rsidRPr="00000000">
              <w:rPr>
                <w:color w:val="000000"/>
                <w:sz w:val="18"/>
                <w:szCs w:val="18"/>
                <w:rtl w:val="0"/>
              </w:rPr>
              <w:t xml:space="preserve">• Chimie végétale ou biodégradabilité supérieure aux critères réglementaires </w:t>
              <w:br w:type="textWrapping"/>
              <w:t xml:space="preserve">• Emballage recyclable </w:t>
            </w: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7">
            <w:pPr>
              <w:spacing w:after="0" w:line="240" w:lineRule="auto"/>
              <w:jc w:val="left"/>
              <w:rPr>
                <w:color w:val="000000"/>
                <w:sz w:val="24"/>
                <w:szCs w:val="24"/>
              </w:rPr>
            </w:pPr>
            <w:r w:rsidDel="00000000" w:rsidR="00000000" w:rsidRPr="00000000">
              <w:rPr>
                <w:color w:val="000000"/>
                <w:sz w:val="18"/>
                <w:szCs w:val="18"/>
                <w:rtl w:val="0"/>
              </w:rPr>
              <w:t xml:space="preserve">Désinfectant nettoyant local à déchets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8">
            <w:pPr>
              <w:spacing w:after="0" w:line="240" w:lineRule="auto"/>
              <w:jc w:val="left"/>
              <w:rPr>
                <w:color w:val="000000"/>
                <w:sz w:val="24"/>
                <w:szCs w:val="24"/>
              </w:rPr>
            </w:pPr>
            <w:r w:rsidDel="00000000" w:rsidR="00000000" w:rsidRPr="00000000">
              <w:rPr>
                <w:color w:val="000000"/>
                <w:sz w:val="18"/>
                <w:szCs w:val="18"/>
                <w:rtl w:val="0"/>
              </w:rPr>
              <w:t xml:space="preserve">• Ecocert ou exigences équivalentes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9">
            <w:pPr>
              <w:spacing w:after="0" w:line="240" w:lineRule="auto"/>
              <w:jc w:val="left"/>
              <w:rPr>
                <w:color w:val="000000"/>
                <w:sz w:val="24"/>
                <w:szCs w:val="24"/>
              </w:rPr>
            </w:pPr>
            <w:r w:rsidDel="00000000" w:rsidR="00000000" w:rsidRPr="00000000">
              <w:rPr>
                <w:color w:val="000000"/>
                <w:sz w:val="18"/>
                <w:szCs w:val="18"/>
                <w:rtl w:val="0"/>
              </w:rPr>
              <w:t xml:space="preserve">• Chimie végétale ou biodégradabilité supérieure aux critères réglementaires </w:t>
              <w:br w:type="textWrapping"/>
              <w:t xml:space="preserve">• Emballage recyclable </w:t>
            </w: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0">
            <w:pPr>
              <w:spacing w:after="0" w:line="240" w:lineRule="auto"/>
              <w:jc w:val="left"/>
              <w:rPr>
                <w:color w:val="000000"/>
                <w:sz w:val="24"/>
                <w:szCs w:val="24"/>
              </w:rPr>
            </w:pPr>
            <w:r w:rsidDel="00000000" w:rsidR="00000000" w:rsidRPr="00000000">
              <w:rPr>
                <w:color w:val="000000"/>
                <w:sz w:val="18"/>
                <w:szCs w:val="18"/>
                <w:rtl w:val="0"/>
              </w:rPr>
              <w:t xml:space="preserve">Détergent Plonge manuelle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1">
            <w:pPr>
              <w:spacing w:after="0" w:line="240" w:lineRule="auto"/>
              <w:jc w:val="left"/>
              <w:rPr>
                <w:color w:val="000000"/>
                <w:sz w:val="24"/>
                <w:szCs w:val="24"/>
              </w:rPr>
            </w:pPr>
            <w:r w:rsidDel="00000000" w:rsidR="00000000" w:rsidRPr="00000000">
              <w:rPr>
                <w:color w:val="000000"/>
                <w:sz w:val="18"/>
                <w:szCs w:val="18"/>
                <w:rtl w:val="0"/>
              </w:rPr>
              <w:t xml:space="preserve">• Ecolabel, Nordic Swan, ou exigences équivalentes </w:t>
              <w:br w:type="textWrapping"/>
              <w:t xml:space="preserve">• Sans pictogramme ou mention de danger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2">
            <w:pPr>
              <w:spacing w:after="0" w:line="240" w:lineRule="auto"/>
              <w:jc w:val="left"/>
              <w:rPr>
                <w:color w:val="000000"/>
                <w:sz w:val="24"/>
                <w:szCs w:val="24"/>
              </w:rPr>
            </w:pPr>
            <w:r w:rsidDel="00000000" w:rsidR="00000000" w:rsidRPr="00000000">
              <w:rPr>
                <w:color w:val="000000"/>
                <w:sz w:val="18"/>
                <w:szCs w:val="18"/>
                <w:rtl w:val="0"/>
              </w:rPr>
              <w:t xml:space="preserve">• Chimie végétale ou biodégradabilité supérieure aux critères réglementaires </w:t>
              <w:br w:type="textWrapping"/>
              <w:t xml:space="preserve">• Emballage recyclable </w:t>
            </w: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9">
            <w:pPr>
              <w:spacing w:after="0" w:line="240" w:lineRule="auto"/>
              <w:jc w:val="left"/>
              <w:rPr>
                <w:color w:val="000000"/>
                <w:sz w:val="24"/>
                <w:szCs w:val="24"/>
              </w:rPr>
            </w:pPr>
            <w:r w:rsidDel="00000000" w:rsidR="00000000" w:rsidRPr="00000000">
              <w:rPr>
                <w:color w:val="000000"/>
                <w:sz w:val="18"/>
                <w:szCs w:val="18"/>
                <w:rtl w:val="0"/>
              </w:rPr>
              <w:t xml:space="preserve">Détergent liquide lave-vaisselle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A">
            <w:pPr>
              <w:spacing w:after="0" w:line="240" w:lineRule="auto"/>
              <w:jc w:val="left"/>
              <w:rPr>
                <w:color w:val="000000"/>
                <w:sz w:val="24"/>
                <w:szCs w:val="24"/>
              </w:rPr>
            </w:pPr>
            <w:r w:rsidDel="00000000" w:rsidR="00000000" w:rsidRPr="00000000">
              <w:rPr>
                <w:color w:val="000000"/>
                <w:sz w:val="18"/>
                <w:szCs w:val="18"/>
                <w:rtl w:val="0"/>
              </w:rPr>
              <w:t xml:space="preserve">• Sans phosphate ni dérivés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B">
            <w:pPr>
              <w:spacing w:after="0" w:line="240" w:lineRule="auto"/>
              <w:jc w:val="left"/>
              <w:rPr>
                <w:color w:val="000000"/>
                <w:sz w:val="24"/>
                <w:szCs w:val="24"/>
              </w:rPr>
            </w:pPr>
            <w:r w:rsidDel="00000000" w:rsidR="00000000" w:rsidRPr="00000000">
              <w:rPr>
                <w:color w:val="000000"/>
                <w:sz w:val="18"/>
                <w:szCs w:val="18"/>
                <w:rtl w:val="0"/>
              </w:rPr>
              <w:t xml:space="preserve">• Emballage recyclable </w:t>
              <w:br w:type="textWrapping"/>
              <w:t xml:space="preserve">• Ecolabel, Ecocert ou exigences équivalentes </w:t>
              <w:br w:type="textWrapping"/>
              <w:t xml:space="preserve">• Chimie végétale ou biodégradabilité supérieure aux critères réglementaires </w:t>
            </w: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1F">
            <w:pPr>
              <w:spacing w:after="0" w:line="240" w:lineRule="auto"/>
              <w:jc w:val="left"/>
              <w:rPr>
                <w:color w:val="000000"/>
                <w:sz w:val="24"/>
                <w:szCs w:val="24"/>
              </w:rPr>
            </w:pPr>
            <w:r w:rsidDel="00000000" w:rsidR="00000000" w:rsidRPr="00000000">
              <w:rPr>
                <w:color w:val="000000"/>
                <w:sz w:val="18"/>
                <w:szCs w:val="18"/>
                <w:rtl w:val="0"/>
              </w:rPr>
              <w:t xml:space="preserve">Détergent pastille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0">
            <w:pPr>
              <w:spacing w:after="0" w:line="240" w:lineRule="auto"/>
              <w:jc w:val="left"/>
              <w:rPr>
                <w:color w:val="000000"/>
                <w:sz w:val="24"/>
                <w:szCs w:val="24"/>
              </w:rPr>
            </w:pPr>
            <w:r w:rsidDel="00000000" w:rsidR="00000000" w:rsidRPr="00000000">
              <w:rPr>
                <w:color w:val="000000"/>
                <w:sz w:val="18"/>
                <w:szCs w:val="18"/>
                <w:rtl w:val="0"/>
              </w:rPr>
              <w:t xml:space="preserve">• Sans phosphate ni dérivés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1">
            <w:pPr>
              <w:spacing w:after="0" w:line="240" w:lineRule="auto"/>
              <w:jc w:val="left"/>
              <w:rPr>
                <w:color w:val="000000"/>
                <w:sz w:val="24"/>
                <w:szCs w:val="24"/>
              </w:rPr>
            </w:pPr>
            <w:r w:rsidDel="00000000" w:rsidR="00000000" w:rsidRPr="00000000">
              <w:rPr>
                <w:color w:val="000000"/>
                <w:sz w:val="18"/>
                <w:szCs w:val="18"/>
                <w:rtl w:val="0"/>
              </w:rPr>
              <w:t xml:space="preserve">• Emballage recyclable </w:t>
              <w:br w:type="textWrapping"/>
              <w:t xml:space="preserve">• Ecolabel, Ecocert ou exigences équivalentes </w:t>
              <w:br w:type="textWrapping"/>
              <w:t xml:space="preserve">• Chimie végétale ou biodégradabilité supérieure aux critères réglementaires </w:t>
            </w: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8">
            <w:pPr>
              <w:spacing w:after="0" w:line="240" w:lineRule="auto"/>
              <w:jc w:val="left"/>
              <w:rPr>
                <w:color w:val="000000"/>
                <w:sz w:val="24"/>
                <w:szCs w:val="24"/>
              </w:rPr>
            </w:pPr>
            <w:r w:rsidDel="00000000" w:rsidR="00000000" w:rsidRPr="00000000">
              <w:rPr>
                <w:color w:val="000000"/>
                <w:sz w:val="18"/>
                <w:szCs w:val="18"/>
                <w:rtl w:val="0"/>
              </w:rPr>
              <w:t xml:space="preserve">Additif de rinçage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9">
            <w:pPr>
              <w:spacing w:after="0" w:line="240" w:lineRule="auto"/>
              <w:jc w:val="left"/>
              <w:rPr>
                <w:color w:val="000000"/>
                <w:sz w:val="24"/>
                <w:szCs w:val="24"/>
              </w:rPr>
            </w:pPr>
            <w:r w:rsidDel="00000000" w:rsidR="00000000" w:rsidRPr="00000000">
              <w:rPr>
                <w:color w:val="000000"/>
                <w:sz w:val="18"/>
                <w:szCs w:val="18"/>
                <w:rtl w:val="0"/>
              </w:rPr>
              <w:t xml:space="preserve">• Sans phosphate ni dérivés </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A">
            <w:pPr>
              <w:spacing w:after="0" w:line="240" w:lineRule="auto"/>
              <w:jc w:val="left"/>
              <w:rPr>
                <w:color w:val="000000"/>
                <w:sz w:val="24"/>
                <w:szCs w:val="24"/>
              </w:rPr>
            </w:pPr>
            <w:r w:rsidDel="00000000" w:rsidR="00000000" w:rsidRPr="00000000">
              <w:rPr>
                <w:color w:val="000000"/>
                <w:sz w:val="18"/>
                <w:szCs w:val="18"/>
                <w:rtl w:val="0"/>
              </w:rPr>
              <w:t xml:space="preserve">• Emballage recyclable </w:t>
              <w:br w:type="textWrapping"/>
              <w:t xml:space="preserve">• Ecolabel, Ecocert ou exigences équivalentes </w:t>
              <w:br w:type="textWrapping"/>
              <w:t xml:space="preserve">• Chimie végétale ou biodégradabilité supérieure aux critères réglementaires </w:t>
            </w: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64"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bl>
    <w:p w:rsidR="00000000" w:rsidDel="00000000" w:rsidP="00000000" w:rsidRDefault="00000000" w:rsidRPr="00000000" w14:paraId="00000331">
      <w:pPr>
        <w:pStyle w:val="Heading1"/>
        <w:rPr/>
      </w:pPr>
      <w:bookmarkStart w:colFirst="0" w:colLast="0" w:name="_heading=h.2dlolyb" w:id="59"/>
      <w:bookmarkEnd w:id="59"/>
      <w:r w:rsidDel="00000000" w:rsidR="00000000" w:rsidRPr="00000000">
        <w:rPr>
          <w:rtl w:val="0"/>
        </w:rPr>
        <w:t xml:space="preserve">6. L’organisation opérationnelle</w:t>
      </w:r>
    </w:p>
    <w:p w:rsidR="00000000" w:rsidDel="00000000" w:rsidP="00000000" w:rsidRDefault="00000000" w:rsidRPr="00000000" w14:paraId="00000332">
      <w:pPr>
        <w:pStyle w:val="Heading2"/>
        <w:rPr/>
      </w:pPr>
      <w:bookmarkStart w:colFirst="0" w:colLast="0" w:name="_heading=h.sqyw64" w:id="60"/>
      <w:bookmarkEnd w:id="60"/>
      <w:r w:rsidDel="00000000" w:rsidR="00000000" w:rsidRPr="00000000">
        <w:rPr>
          <w:rtl w:val="0"/>
        </w:rPr>
        <w:t xml:space="preserve">6.1 Le staffing</w:t>
      </w:r>
    </w:p>
    <w:p w:rsidR="00000000" w:rsidDel="00000000" w:rsidP="00000000" w:rsidRDefault="00000000" w:rsidRPr="00000000" w14:paraId="00000333">
      <w:pPr>
        <w:rPr>
          <w:highlight w:val="yellow"/>
        </w:rPr>
      </w:pPr>
      <w:r w:rsidDel="00000000" w:rsidR="00000000" w:rsidRPr="00000000">
        <w:rPr>
          <w:rtl w:val="0"/>
        </w:rPr>
        <w:t xml:space="preserve">Pour garantir l’atteinte des résultats fixés par Paris 2024, le Candidat retenu devra avoir la capacité de mettre en place une équipe projet avant le début réel des prestations pour planifier les opérations, assurer la communication à Paris 2024 des livrables et reporting attendus, assurer la montée en charge au niveau du Site au moment de l’événement et la phase de démantèlement. Dans la mesure du possible l’équipe projet ne devra pas changer pendant toute la durée du contrat, et notamment l’interlocuteur privilégié de Paris 2024. Le type de reporting et la périodicité attendue sera définie lors des ateliers thématiques.</w:t>
      </w:r>
      <w:r w:rsidDel="00000000" w:rsidR="00000000" w:rsidRPr="00000000">
        <w:rPr>
          <w:rtl w:val="0"/>
        </w:rPr>
      </w:r>
    </w:p>
    <w:p w:rsidR="00000000" w:rsidDel="00000000" w:rsidP="00000000" w:rsidRDefault="00000000" w:rsidRPr="00000000" w14:paraId="00000334">
      <w:pPr>
        <w:rPr>
          <w:color w:val="000000"/>
        </w:rPr>
      </w:pPr>
      <w:r w:rsidDel="00000000" w:rsidR="00000000" w:rsidRPr="00000000">
        <w:rPr>
          <w:color w:val="000000"/>
          <w:rtl w:val="0"/>
        </w:rPr>
        <w:t xml:space="preserve">Dans son offre initiale, le Candidat devra soumettre un organigramme / une structure opérationnelle qui démontre l’efficacité des services de restauration en phase Jeux en détaillant : </w:t>
      </w:r>
    </w:p>
    <w:p w:rsidR="00000000" w:rsidDel="00000000" w:rsidP="00000000" w:rsidRDefault="00000000" w:rsidRPr="00000000" w14:paraId="0000033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postes et fonctions de chaque membre de son équipe. </w:t>
      </w:r>
      <w:r w:rsidDel="00000000" w:rsidR="00000000" w:rsidRPr="00000000">
        <w:rPr>
          <w:rtl w:val="0"/>
        </w:rPr>
      </w:r>
    </w:p>
    <w:p w:rsidR="00000000" w:rsidDel="00000000" w:rsidP="00000000" w:rsidRDefault="00000000" w:rsidRPr="00000000" w14:paraId="0000033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qualifications et expertises de son personnel opérationnel. </w:t>
      </w:r>
      <w:r w:rsidDel="00000000" w:rsidR="00000000" w:rsidRPr="00000000">
        <w:rPr>
          <w:rtl w:val="0"/>
        </w:rPr>
      </w:r>
    </w:p>
    <w:p w:rsidR="00000000" w:rsidDel="00000000" w:rsidP="00000000" w:rsidRDefault="00000000" w:rsidRPr="00000000" w14:paraId="0000033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 nombre minimum de staff requis pour les opérations. </w:t>
      </w:r>
    </w:p>
    <w:p w:rsidR="00000000" w:rsidDel="00000000" w:rsidP="00000000" w:rsidRDefault="00000000" w:rsidRPr="00000000" w14:paraId="0000033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Les liens hiérarchiques ainsi que les liaisons avec Paris 2024 </w:t>
      </w:r>
    </w:p>
    <w:p w:rsidR="00000000" w:rsidDel="00000000" w:rsidP="00000000" w:rsidRDefault="00000000" w:rsidRPr="00000000" w14:paraId="00000339">
      <w:pPr>
        <w:rPr/>
      </w:pPr>
      <w:r w:rsidDel="00000000" w:rsidR="00000000" w:rsidRPr="00000000">
        <w:rPr>
          <w:rtl w:val="0"/>
        </w:rPr>
        <w:t xml:space="preserve">Dans le cadre de sa réponse, le Candidat est invité à préciser son staffing plan à la fois pour l’équipe projet et pour l’équipe opérationnelle (voir tableau ci-dessous)</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w:t>
      </w:r>
      <w:r w:rsidDel="00000000" w:rsidR="00000000" w:rsidRPr="00000000">
        <w:rPr>
          <w:rFonts w:ascii="Paris2024" w:cs="Paris2024" w:eastAsia="Paris2024" w:hAnsi="Paris2024"/>
          <w:rtl w:val="0"/>
        </w:rPr>
        <w:t xml:space="preserve">    </w:t>
      </w:r>
      <w:r w:rsidDel="00000000" w:rsidR="00000000" w:rsidRPr="00000000">
        <w:rPr>
          <w:rtl w:val="0"/>
        </w:rPr>
        <w:t xml:space="preserve"> </w:t>
      </w:r>
    </w:p>
    <w:tbl>
      <w:tblPr>
        <w:tblStyle w:val="Table12"/>
        <w:tblW w:w="9739.0" w:type="dxa"/>
        <w:jc w:val="left"/>
        <w:tblInd w:w="-15.0" w:type="dxa"/>
        <w:tblBorders>
          <w:top w:color="000000" w:space="0" w:sz="6" w:val="single"/>
          <w:left w:color="000000" w:space="0" w:sz="6" w:val="single"/>
          <w:bottom w:color="000000" w:space="0" w:sz="6" w:val="single"/>
          <w:right w:color="000000" w:space="0" w:sz="6" w:val="single"/>
        </w:tblBorders>
        <w:tblLayout w:type="fixed"/>
        <w:tblLook w:val="0400"/>
      </w:tblPr>
      <w:tblGrid>
        <w:gridCol w:w="3099"/>
        <w:gridCol w:w="1027"/>
        <w:gridCol w:w="4039"/>
        <w:gridCol w:w="854"/>
        <w:gridCol w:w="720"/>
        <w:tblGridChange w:id="0">
          <w:tblGrid>
            <w:gridCol w:w="3099"/>
            <w:gridCol w:w="1027"/>
            <w:gridCol w:w="4039"/>
            <w:gridCol w:w="854"/>
            <w:gridCol w:w="720"/>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A">
            <w:pPr>
              <w:spacing w:after="0" w:line="240" w:lineRule="auto"/>
              <w:jc w:val="left"/>
              <w:rPr>
                <w:color w:val="000000"/>
                <w:sz w:val="24"/>
                <w:szCs w:val="24"/>
              </w:rPr>
            </w:pPr>
            <w:r w:rsidDel="00000000" w:rsidR="00000000" w:rsidRPr="00000000">
              <w:rPr>
                <w:b w:val="1"/>
                <w:color w:val="000000"/>
                <w:rtl w:val="0"/>
              </w:rPr>
              <w:t xml:space="preserve">Position </w:t>
            </w: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B">
            <w:pPr>
              <w:spacing w:after="0" w:line="240" w:lineRule="auto"/>
              <w:jc w:val="left"/>
              <w:rPr>
                <w:color w:val="000000"/>
                <w:sz w:val="24"/>
                <w:szCs w:val="24"/>
              </w:rPr>
            </w:pPr>
            <w:r w:rsidDel="00000000" w:rsidR="00000000" w:rsidRPr="00000000">
              <w:rPr>
                <w:b w:val="1"/>
                <w:color w:val="000000"/>
                <w:rtl w:val="0"/>
              </w:rPr>
              <w:t xml:space="preserve">N° de staff requis </w:t>
            </w: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C">
            <w:pPr>
              <w:spacing w:after="0" w:line="240" w:lineRule="auto"/>
              <w:jc w:val="left"/>
              <w:rPr>
                <w:color w:val="000000"/>
                <w:sz w:val="24"/>
                <w:szCs w:val="24"/>
              </w:rPr>
            </w:pPr>
            <w:r w:rsidDel="00000000" w:rsidR="00000000" w:rsidRPr="00000000">
              <w:rPr>
                <w:b w:val="1"/>
                <w:color w:val="000000"/>
                <w:rtl w:val="0"/>
              </w:rPr>
              <w:t xml:space="preserve">Qualifications / missions </w:t>
            </w: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D">
            <w:pPr>
              <w:spacing w:after="0" w:line="240" w:lineRule="auto"/>
              <w:jc w:val="center"/>
              <w:rPr>
                <w:color w:val="000000"/>
                <w:sz w:val="24"/>
                <w:szCs w:val="24"/>
              </w:rPr>
            </w:pPr>
            <w:r w:rsidDel="00000000" w:rsidR="00000000" w:rsidRPr="00000000">
              <w:rPr>
                <w:b w:val="1"/>
                <w:color w:val="000000"/>
                <w:rtl w:val="0"/>
              </w:rPr>
              <w:t xml:space="preserve">Coût mensuel</w:t>
            </w: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E">
            <w:pPr>
              <w:spacing w:after="0" w:line="240" w:lineRule="auto"/>
              <w:jc w:val="center"/>
              <w:rPr>
                <w:color w:val="000000"/>
                <w:sz w:val="24"/>
                <w:szCs w:val="24"/>
              </w:rPr>
            </w:pPr>
            <w:r w:rsidDel="00000000" w:rsidR="00000000" w:rsidRPr="00000000">
              <w:rPr>
                <w:b w:val="1"/>
                <w:color w:val="000000"/>
                <w:rtl w:val="0"/>
              </w:rPr>
              <w:t xml:space="preserve">Taux horaire</w:t>
            </w:r>
            <w:r w:rsidDel="00000000" w:rsidR="00000000" w:rsidRPr="00000000">
              <w:rPr>
                <w:color w:val="000000"/>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F">
            <w:pPr>
              <w:spacing w:after="0" w:line="240" w:lineRule="auto"/>
              <w:jc w:val="left"/>
              <w:rPr>
                <w:color w:val="000000"/>
                <w:sz w:val="24"/>
                <w:szCs w:val="24"/>
              </w:rPr>
            </w:pPr>
            <w:r w:rsidDel="00000000" w:rsidR="00000000" w:rsidRPr="00000000">
              <w:rPr>
                <w:b w:val="1"/>
                <w:color w:val="000000"/>
                <w:rtl w:val="0"/>
              </w:rPr>
              <w:t xml:space="preserve">Equipe Projet</w:t>
            </w: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0">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1">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2">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808080" w:val="clear"/>
          </w:tcPr>
          <w:p w:rsidR="00000000" w:rsidDel="00000000" w:rsidP="00000000" w:rsidRDefault="00000000" w:rsidRPr="00000000" w14:paraId="00000343">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4">
            <w:pPr>
              <w:spacing w:after="0" w:line="240" w:lineRule="auto"/>
              <w:jc w:val="right"/>
              <w:rPr>
                <w:color w:val="000000"/>
                <w:sz w:val="24"/>
                <w:szCs w:val="24"/>
              </w:rPr>
            </w:pPr>
            <w:r w:rsidDel="00000000" w:rsidR="00000000" w:rsidRPr="00000000">
              <w:rPr>
                <w:color w:val="000000"/>
                <w:rtl w:val="0"/>
              </w:rPr>
              <w:t xml:space="preserve">Manager Général   </w:t>
            </w:r>
            <w:r w:rsidDel="00000000" w:rsidR="00000000" w:rsidRPr="00000000">
              <w:rPr>
                <w:rtl w:val="0"/>
              </w:rPr>
            </w:r>
          </w:p>
          <w:p w:rsidR="00000000" w:rsidDel="00000000" w:rsidP="00000000" w:rsidRDefault="00000000" w:rsidRPr="00000000" w14:paraId="00000345">
            <w:pPr>
              <w:spacing w:after="0" w:line="240" w:lineRule="auto"/>
              <w:jc w:val="right"/>
              <w:rPr>
                <w:color w:val="000000"/>
                <w:sz w:val="24"/>
                <w:szCs w:val="24"/>
              </w:rPr>
            </w:pPr>
            <w:r w:rsidDel="00000000" w:rsidR="00000000" w:rsidRPr="00000000">
              <w:rPr>
                <w:color w:val="000000"/>
                <w:rtl w:val="0"/>
              </w:rPr>
              <w:t xml:space="preserve">(Temps plein)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6">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7">
            <w:pPr>
              <w:spacing w:after="0" w:line="240" w:lineRule="auto"/>
              <w:jc w:val="left"/>
              <w:rPr>
                <w:color w:val="000000"/>
                <w:sz w:val="24"/>
                <w:szCs w:val="24"/>
              </w:rPr>
            </w:pPr>
            <w:r w:rsidDel="00000000" w:rsidR="00000000" w:rsidRPr="00000000">
              <w:rPr>
                <w:color w:val="000000"/>
                <w:rtl w:val="0"/>
              </w:rPr>
              <w:t xml:space="preserve">Responsable général du projet (management projet, achats, sourcing, encadrement équipes etc.) et point de contact principal pour Paris 2024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8">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808080" w:val="clear"/>
          </w:tcPr>
          <w:p w:rsidR="00000000" w:rsidDel="00000000" w:rsidP="00000000" w:rsidRDefault="00000000" w:rsidRPr="00000000" w14:paraId="00000349">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r>
        <w:trPr>
          <w:cantSplit w:val="0"/>
          <w:trHeight w:val="345"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A">
            <w:pPr>
              <w:spacing w:after="0" w:line="240" w:lineRule="auto"/>
              <w:jc w:val="right"/>
              <w:rPr>
                <w:color w:val="000000"/>
                <w:sz w:val="24"/>
                <w:szCs w:val="24"/>
              </w:rPr>
            </w:pPr>
            <w:r w:rsidDel="00000000" w:rsidR="00000000" w:rsidRPr="00000000">
              <w:rPr>
                <w:color w:val="000000"/>
                <w:rtl w:val="0"/>
              </w:rPr>
              <w:t xml:space="preserve">Responsable Sécurité Alimentaire   </w:t>
            </w:r>
            <w:r w:rsidDel="00000000" w:rsidR="00000000" w:rsidRPr="00000000">
              <w:rPr>
                <w:rtl w:val="0"/>
              </w:rPr>
            </w:r>
          </w:p>
          <w:p w:rsidR="00000000" w:rsidDel="00000000" w:rsidP="00000000" w:rsidRDefault="00000000" w:rsidRPr="00000000" w14:paraId="0000034B">
            <w:pPr>
              <w:spacing w:after="0" w:line="240" w:lineRule="auto"/>
              <w:jc w:val="right"/>
              <w:rPr>
                <w:color w:val="000000"/>
                <w:sz w:val="24"/>
                <w:szCs w:val="24"/>
              </w:rPr>
            </w:pPr>
            <w:r w:rsidDel="00000000" w:rsidR="00000000" w:rsidRPr="00000000">
              <w:rPr>
                <w:color w:val="000000"/>
                <w:rtl w:val="0"/>
              </w:rPr>
              <w:t xml:space="preserve">(Temps plein)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C">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D">
            <w:pPr>
              <w:spacing w:after="0" w:line="240" w:lineRule="auto"/>
              <w:jc w:val="left"/>
              <w:rPr>
                <w:color w:val="000000"/>
                <w:sz w:val="24"/>
                <w:szCs w:val="24"/>
              </w:rPr>
            </w:pPr>
            <w:r w:rsidDel="00000000" w:rsidR="00000000" w:rsidRPr="00000000">
              <w:rPr>
                <w:color w:val="000000"/>
                <w:rtl w:val="0"/>
              </w:rPr>
              <w:t xml:space="preserve">Responsable du contrôle qualité et garant du respect des procédures d’hygiène alimentaire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E">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808080" w:val="clear"/>
          </w:tcPr>
          <w:p w:rsidR="00000000" w:rsidDel="00000000" w:rsidP="00000000" w:rsidRDefault="00000000" w:rsidRPr="00000000" w14:paraId="0000034F">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r>
        <w:trPr>
          <w:cantSplit w:val="0"/>
          <w:trHeight w:val="6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0">
            <w:pPr>
              <w:spacing w:after="0" w:line="240" w:lineRule="auto"/>
              <w:jc w:val="right"/>
              <w:rPr>
                <w:color w:val="000000"/>
                <w:sz w:val="24"/>
                <w:szCs w:val="24"/>
              </w:rPr>
            </w:pPr>
            <w:r w:rsidDel="00000000" w:rsidR="00000000" w:rsidRPr="00000000">
              <w:rPr>
                <w:color w:val="000000"/>
                <w:rtl w:val="0"/>
              </w:rPr>
              <w:t xml:space="preserve">Responsable Culinaire </w:t>
            </w:r>
            <w:r w:rsidDel="00000000" w:rsidR="00000000" w:rsidRPr="00000000">
              <w:rPr>
                <w:rtl w:val="0"/>
              </w:rPr>
            </w:r>
          </w:p>
          <w:p w:rsidR="00000000" w:rsidDel="00000000" w:rsidP="00000000" w:rsidRDefault="00000000" w:rsidRPr="00000000" w14:paraId="00000351">
            <w:pPr>
              <w:spacing w:after="0" w:line="240" w:lineRule="auto"/>
              <w:jc w:val="right"/>
              <w:rPr>
                <w:color w:val="000000"/>
                <w:sz w:val="24"/>
                <w:szCs w:val="24"/>
              </w:rPr>
            </w:pPr>
            <w:r w:rsidDel="00000000" w:rsidR="00000000" w:rsidRPr="00000000">
              <w:rPr>
                <w:color w:val="000000"/>
                <w:rtl w:val="0"/>
              </w:rPr>
              <w:t xml:space="preserve">(Temps plein)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2">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3">
            <w:pPr>
              <w:spacing w:after="0" w:line="240" w:lineRule="auto"/>
              <w:jc w:val="left"/>
              <w:rPr>
                <w:color w:val="000000"/>
                <w:sz w:val="24"/>
                <w:szCs w:val="24"/>
              </w:rPr>
            </w:pPr>
            <w:r w:rsidDel="00000000" w:rsidR="00000000" w:rsidRPr="00000000">
              <w:rPr>
                <w:color w:val="000000"/>
                <w:rtl w:val="0"/>
              </w:rPr>
              <w:t xml:space="preserve">Responsable de l’offre alimentaire proposée (choix des aliments, composition des recettes, plan de menus etc.)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4">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808080" w:val="clear"/>
          </w:tcPr>
          <w:p w:rsidR="00000000" w:rsidDel="00000000" w:rsidP="00000000" w:rsidRDefault="00000000" w:rsidRPr="00000000" w14:paraId="00000355">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6">
            <w:pPr>
              <w:spacing w:after="0" w:line="240" w:lineRule="auto"/>
              <w:jc w:val="right"/>
              <w:rPr>
                <w:color w:val="000000"/>
                <w:sz w:val="24"/>
                <w:szCs w:val="24"/>
              </w:rPr>
            </w:pPr>
            <w:r w:rsidDel="00000000" w:rsidR="00000000" w:rsidRPr="00000000">
              <w:rPr>
                <w:color w:val="000000"/>
                <w:rtl w:val="0"/>
              </w:rPr>
              <w:t xml:space="preserve">Expert Nutritionniste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7">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8">
            <w:pPr>
              <w:spacing w:after="0" w:line="240" w:lineRule="auto"/>
              <w:jc w:val="left"/>
              <w:rPr>
                <w:color w:val="000000"/>
                <w:sz w:val="24"/>
                <w:szCs w:val="24"/>
              </w:rPr>
            </w:pPr>
            <w:r w:rsidDel="00000000" w:rsidR="00000000" w:rsidRPr="00000000">
              <w:rPr>
                <w:color w:val="000000"/>
                <w:rtl w:val="0"/>
              </w:rPr>
              <w:t xml:space="preserve">Conseils dans la composition des recettes, affichage obligatoire et allergènes, apport nutritionnel etc.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9">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808080" w:val="clear"/>
          </w:tcPr>
          <w:p w:rsidR="00000000" w:rsidDel="00000000" w:rsidP="00000000" w:rsidRDefault="00000000" w:rsidRPr="00000000" w14:paraId="0000035A">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B">
            <w:pPr>
              <w:spacing w:after="0" w:line="240" w:lineRule="auto"/>
              <w:jc w:val="right"/>
              <w:rPr>
                <w:color w:val="000000"/>
                <w:sz w:val="24"/>
                <w:szCs w:val="24"/>
              </w:rPr>
            </w:pPr>
            <w:r w:rsidDel="00000000" w:rsidR="00000000" w:rsidRPr="00000000">
              <w:rPr>
                <w:color w:val="000000"/>
                <w:rtl w:val="0"/>
              </w:rPr>
              <w:t xml:space="preserve">Responsable Pôle RH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C">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D">
            <w:pPr>
              <w:spacing w:after="0" w:line="240" w:lineRule="auto"/>
              <w:jc w:val="left"/>
              <w:rPr>
                <w:color w:val="000000"/>
                <w:sz w:val="24"/>
                <w:szCs w:val="24"/>
              </w:rPr>
            </w:pPr>
            <w:r w:rsidDel="00000000" w:rsidR="00000000" w:rsidRPr="00000000">
              <w:rPr>
                <w:color w:val="000000"/>
                <w:rtl w:val="0"/>
              </w:rPr>
              <w:t xml:space="preserve">Responsable recrutement et formation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E">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808080" w:val="clear"/>
          </w:tcPr>
          <w:p w:rsidR="00000000" w:rsidDel="00000000" w:rsidP="00000000" w:rsidRDefault="00000000" w:rsidRPr="00000000" w14:paraId="0000035F">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60">
            <w:pPr>
              <w:spacing w:after="0" w:line="240" w:lineRule="auto"/>
              <w:jc w:val="right"/>
              <w:rPr>
                <w:color w:val="000000"/>
                <w:sz w:val="24"/>
                <w:szCs w:val="24"/>
              </w:rPr>
            </w:pPr>
            <w:r w:rsidDel="00000000" w:rsidR="00000000" w:rsidRPr="00000000">
              <w:rPr>
                <w:color w:val="000000"/>
                <w:rtl w:val="0"/>
              </w:rPr>
              <w:t xml:space="preserve">Autre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61">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62">
            <w:pPr>
              <w:spacing w:after="0" w:line="240" w:lineRule="auto"/>
              <w:jc w:val="left"/>
              <w:rPr>
                <w:color w:val="000000"/>
                <w:sz w:val="24"/>
                <w:szCs w:val="24"/>
              </w:rPr>
            </w:pPr>
            <w:r w:rsidDel="00000000" w:rsidR="00000000" w:rsidRPr="00000000">
              <w:rPr>
                <w:color w:val="000000"/>
                <w:rtl w:val="0"/>
              </w:rPr>
              <w:t xml:space="preserve">A détailler par le Candidat dans son offre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63">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808080" w:val="clear"/>
          </w:tcPr>
          <w:p w:rsidR="00000000" w:rsidDel="00000000" w:rsidP="00000000" w:rsidRDefault="00000000" w:rsidRPr="00000000" w14:paraId="00000364">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65">
            <w:pPr>
              <w:spacing w:after="0" w:line="240" w:lineRule="auto"/>
              <w:jc w:val="left"/>
              <w:rPr>
                <w:color w:val="000000"/>
                <w:sz w:val="24"/>
                <w:szCs w:val="24"/>
              </w:rPr>
            </w:pPr>
            <w:r w:rsidDel="00000000" w:rsidR="00000000" w:rsidRPr="00000000">
              <w:rPr>
                <w:b w:val="1"/>
                <w:color w:val="000000"/>
                <w:rtl w:val="0"/>
              </w:rPr>
              <w:t xml:space="preserve">Equipe Opérationnelle</w:t>
            </w: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66">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67">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808080" w:val="clear"/>
          </w:tcPr>
          <w:p w:rsidR="00000000" w:rsidDel="00000000" w:rsidP="00000000" w:rsidRDefault="00000000" w:rsidRPr="00000000" w14:paraId="00000368">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69">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6A">
            <w:pPr>
              <w:spacing w:after="0" w:line="240" w:lineRule="auto"/>
              <w:jc w:val="right"/>
              <w:rPr>
                <w:color w:val="000000"/>
                <w:sz w:val="24"/>
                <w:szCs w:val="24"/>
              </w:rPr>
            </w:pPr>
            <w:r w:rsidDel="00000000" w:rsidR="00000000" w:rsidRPr="00000000">
              <w:rPr>
                <w:color w:val="000000"/>
                <w:rtl w:val="0"/>
              </w:rPr>
              <w:t xml:space="preserve">Responsable Logistique </w:t>
            </w:r>
            <w:r w:rsidDel="00000000" w:rsidR="00000000" w:rsidRPr="00000000">
              <w:rPr>
                <w:rtl w:val="0"/>
              </w:rPr>
            </w:r>
          </w:p>
          <w:p w:rsidR="00000000" w:rsidDel="00000000" w:rsidP="00000000" w:rsidRDefault="00000000" w:rsidRPr="00000000" w14:paraId="0000036B">
            <w:pPr>
              <w:spacing w:after="0" w:line="240" w:lineRule="auto"/>
              <w:jc w:val="right"/>
              <w:rPr>
                <w:color w:val="000000"/>
                <w:sz w:val="24"/>
                <w:szCs w:val="24"/>
              </w:rPr>
            </w:pPr>
            <w:r w:rsidDel="00000000" w:rsidR="00000000" w:rsidRPr="00000000">
              <w:rPr>
                <w:color w:val="000000"/>
                <w:rtl w:val="0"/>
              </w:rPr>
              <w:t xml:space="preserve">(Temps plein)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6C">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6D">
            <w:pPr>
              <w:spacing w:after="0" w:line="240" w:lineRule="auto"/>
              <w:jc w:val="left"/>
              <w:rPr>
                <w:color w:val="000000"/>
                <w:sz w:val="24"/>
                <w:szCs w:val="24"/>
              </w:rPr>
            </w:pPr>
            <w:r w:rsidDel="00000000" w:rsidR="00000000" w:rsidRPr="00000000">
              <w:rPr>
                <w:color w:val="000000"/>
                <w:rtl w:val="0"/>
              </w:rPr>
              <w:t xml:space="preserve">Responsable livraisons (MDS et VCP ainsi que dispatch sur site), gestion des stocks, distribution des programmes de catering à distance (Rate Card / click &amp; collect etc.)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808080" w:val="clear"/>
          </w:tcPr>
          <w:p w:rsidR="00000000" w:rsidDel="00000000" w:rsidP="00000000" w:rsidRDefault="00000000" w:rsidRPr="00000000" w14:paraId="0000036E">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6F">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70">
            <w:pPr>
              <w:spacing w:after="0" w:line="240" w:lineRule="auto"/>
              <w:jc w:val="right"/>
              <w:rPr>
                <w:color w:val="000000"/>
                <w:sz w:val="24"/>
                <w:szCs w:val="24"/>
              </w:rPr>
            </w:pPr>
            <w:r w:rsidDel="00000000" w:rsidR="00000000" w:rsidRPr="00000000">
              <w:rPr>
                <w:color w:val="000000"/>
                <w:rtl w:val="0"/>
              </w:rPr>
              <w:t xml:space="preserve">Chef de cuisine  </w:t>
            </w:r>
            <w:r w:rsidDel="00000000" w:rsidR="00000000" w:rsidRPr="00000000">
              <w:rPr>
                <w:rtl w:val="0"/>
              </w:rPr>
            </w:r>
          </w:p>
          <w:p w:rsidR="00000000" w:rsidDel="00000000" w:rsidP="00000000" w:rsidRDefault="00000000" w:rsidRPr="00000000" w14:paraId="00000371">
            <w:pPr>
              <w:spacing w:after="0" w:line="240" w:lineRule="auto"/>
              <w:jc w:val="right"/>
              <w:rPr>
                <w:color w:val="000000"/>
                <w:sz w:val="24"/>
                <w:szCs w:val="24"/>
              </w:rPr>
            </w:pPr>
            <w:r w:rsidDel="00000000" w:rsidR="00000000" w:rsidRPr="00000000">
              <w:rPr>
                <w:color w:val="000000"/>
                <w:rtl w:val="0"/>
              </w:rPr>
              <w:t xml:space="preserve">(Temps plein)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72">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73">
            <w:pPr>
              <w:spacing w:after="0" w:line="240" w:lineRule="auto"/>
              <w:jc w:val="left"/>
              <w:rPr>
                <w:color w:val="000000"/>
                <w:sz w:val="24"/>
                <w:szCs w:val="24"/>
              </w:rPr>
            </w:pPr>
            <w:r w:rsidDel="00000000" w:rsidR="00000000" w:rsidRPr="00000000">
              <w:rPr>
                <w:color w:val="000000"/>
                <w:rtl w:val="0"/>
              </w:rPr>
              <w:t xml:space="preserve">Responsable des cuisines (encadrement de la brigade et supervision des opérations) et garant de la qualité des mets sortant des offices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808080" w:val="clear"/>
          </w:tcPr>
          <w:p w:rsidR="00000000" w:rsidDel="00000000" w:rsidP="00000000" w:rsidRDefault="00000000" w:rsidRPr="00000000" w14:paraId="00000374">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75">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76">
            <w:pPr>
              <w:spacing w:after="0" w:line="240" w:lineRule="auto"/>
              <w:jc w:val="right"/>
              <w:rPr>
                <w:color w:val="000000"/>
                <w:sz w:val="24"/>
                <w:szCs w:val="24"/>
              </w:rPr>
            </w:pPr>
            <w:r w:rsidDel="00000000" w:rsidR="00000000" w:rsidRPr="00000000">
              <w:rPr>
                <w:color w:val="000000"/>
                <w:rtl w:val="0"/>
              </w:rPr>
              <w:t xml:space="preserve">Cuisinier  </w:t>
            </w:r>
            <w:r w:rsidDel="00000000" w:rsidR="00000000" w:rsidRPr="00000000">
              <w:rPr>
                <w:rtl w:val="0"/>
              </w:rPr>
            </w:r>
          </w:p>
          <w:p w:rsidR="00000000" w:rsidDel="00000000" w:rsidP="00000000" w:rsidRDefault="00000000" w:rsidRPr="00000000" w14:paraId="00000377">
            <w:pPr>
              <w:spacing w:after="0" w:line="240" w:lineRule="auto"/>
              <w:jc w:val="right"/>
              <w:rPr>
                <w:color w:val="000000"/>
                <w:sz w:val="24"/>
                <w:szCs w:val="24"/>
              </w:rPr>
            </w:pPr>
            <w:r w:rsidDel="00000000" w:rsidR="00000000" w:rsidRPr="00000000">
              <w:rPr>
                <w:color w:val="000000"/>
                <w:rtl w:val="0"/>
              </w:rPr>
              <w:t xml:space="preserve">(Temps plein / temps partiel)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78">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79">
            <w:pPr>
              <w:spacing w:after="0" w:line="240" w:lineRule="auto"/>
              <w:jc w:val="left"/>
              <w:rPr>
                <w:color w:val="000000"/>
                <w:sz w:val="24"/>
                <w:szCs w:val="24"/>
              </w:rPr>
            </w:pPr>
            <w:r w:rsidDel="00000000" w:rsidR="00000000" w:rsidRPr="00000000">
              <w:rPr>
                <w:color w:val="000000"/>
                <w:rtl w:val="0"/>
              </w:rPr>
              <w:t xml:space="preserve">Personnel opérationnel en cuisine, y compris la plonge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808080" w:val="clear"/>
          </w:tcPr>
          <w:p w:rsidR="00000000" w:rsidDel="00000000" w:rsidP="00000000" w:rsidRDefault="00000000" w:rsidRPr="00000000" w14:paraId="0000037A">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7B">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r>
        <w:trPr>
          <w:cantSplit w:val="0"/>
          <w:trHeight w:val="51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7C">
            <w:pPr>
              <w:spacing w:after="0" w:line="240" w:lineRule="auto"/>
              <w:jc w:val="right"/>
              <w:rPr>
                <w:color w:val="000000"/>
                <w:sz w:val="24"/>
                <w:szCs w:val="24"/>
              </w:rPr>
            </w:pPr>
            <w:r w:rsidDel="00000000" w:rsidR="00000000" w:rsidRPr="00000000">
              <w:rPr>
                <w:color w:val="000000"/>
                <w:rtl w:val="0"/>
              </w:rPr>
              <w:t xml:space="preserve">Commis de salle </w:t>
            </w:r>
            <w:r w:rsidDel="00000000" w:rsidR="00000000" w:rsidRPr="00000000">
              <w:rPr>
                <w:rtl w:val="0"/>
              </w:rPr>
            </w:r>
          </w:p>
          <w:p w:rsidR="00000000" w:rsidDel="00000000" w:rsidP="00000000" w:rsidRDefault="00000000" w:rsidRPr="00000000" w14:paraId="0000037D">
            <w:pPr>
              <w:spacing w:after="0" w:line="240" w:lineRule="auto"/>
              <w:jc w:val="right"/>
              <w:rPr>
                <w:color w:val="000000"/>
                <w:sz w:val="24"/>
                <w:szCs w:val="24"/>
              </w:rPr>
            </w:pPr>
            <w:r w:rsidDel="00000000" w:rsidR="00000000" w:rsidRPr="00000000">
              <w:rPr>
                <w:color w:val="000000"/>
                <w:rtl w:val="0"/>
              </w:rPr>
              <w:t xml:space="preserve">(Temps plein / temps partiel)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7E">
            <w:pPr>
              <w:spacing w:after="0" w:line="240" w:lineRule="auto"/>
              <w:jc w:val="left"/>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7F">
            <w:pPr>
              <w:spacing w:after="0" w:line="240" w:lineRule="auto"/>
              <w:jc w:val="left"/>
              <w:rPr>
                <w:color w:val="000000"/>
                <w:sz w:val="24"/>
                <w:szCs w:val="24"/>
              </w:rPr>
            </w:pPr>
            <w:r w:rsidDel="00000000" w:rsidR="00000000" w:rsidRPr="00000000">
              <w:rPr>
                <w:color w:val="000000"/>
                <w:rtl w:val="0"/>
              </w:rPr>
              <w:t xml:space="preserve">Personnel opérationnel en salle (service, encaissement, gestion des files d’attente etc.)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808080" w:val="clear"/>
          </w:tcPr>
          <w:p w:rsidR="00000000" w:rsidDel="00000000" w:rsidP="00000000" w:rsidRDefault="00000000" w:rsidRPr="00000000" w14:paraId="00000380">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81">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bl>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spacing w:after="0" w:line="240" w:lineRule="auto"/>
        <w:rPr>
          <w:rFonts w:ascii="Paris2024" w:cs="Paris2024" w:eastAsia="Paris2024" w:hAnsi="Paris2024"/>
          <w:color w:val="000000"/>
          <w:sz w:val="18"/>
          <w:szCs w:val="18"/>
        </w:rPr>
      </w:pPr>
      <w:r w:rsidDel="00000000" w:rsidR="00000000" w:rsidRPr="00000000">
        <w:rPr>
          <w:rFonts w:ascii="Paris2024" w:cs="Paris2024" w:eastAsia="Paris2024" w:hAnsi="Paris2024"/>
          <w:color w:val="000000"/>
          <w:rtl w:val="0"/>
        </w:rPr>
        <w:t xml:space="preserve"> </w:t>
      </w:r>
      <w:r w:rsidDel="00000000" w:rsidR="00000000" w:rsidRPr="00000000">
        <w:rPr>
          <w:rtl w:val="0"/>
        </w:rPr>
      </w:r>
    </w:p>
    <w:p w:rsidR="00000000" w:rsidDel="00000000" w:rsidP="00000000" w:rsidRDefault="00000000" w:rsidRPr="00000000" w14:paraId="00000384">
      <w:pPr>
        <w:rPr>
          <w:sz w:val="18"/>
          <w:szCs w:val="18"/>
        </w:rPr>
      </w:pPr>
      <w:r w:rsidDel="00000000" w:rsidR="00000000" w:rsidRPr="00000000">
        <w:rPr>
          <w:rtl w:val="0"/>
        </w:rPr>
        <w:t xml:space="preserve">Il sera demandé au Candidat retenu de prévoir une réserve de 5% du personnel opérationnel en cas de désistement ou remplacement de dernière minute pour garantir le service. Paris 2024 exige également qu’un responsable d’exploitation soit présent 24 heures sur 24 en phase opérationnelle, afin de pouvoir apporter des modifications au plan de repas ou intervenir dans la gestion du personnel si nécessaire. </w:t>
      </w:r>
      <w:r w:rsidDel="00000000" w:rsidR="00000000" w:rsidRPr="00000000">
        <w:rPr>
          <w:rtl w:val="0"/>
        </w:rPr>
      </w:r>
    </w:p>
    <w:p w:rsidR="00000000" w:rsidDel="00000000" w:rsidP="00000000" w:rsidRDefault="00000000" w:rsidRPr="00000000" w14:paraId="00000385">
      <w:pPr>
        <w:pStyle w:val="Heading2"/>
        <w:rPr/>
      </w:pPr>
      <w:bookmarkStart w:colFirst="0" w:colLast="0" w:name="_heading=h.3cqmetx" w:id="61"/>
      <w:bookmarkEnd w:id="61"/>
      <w:r w:rsidDel="00000000" w:rsidR="00000000" w:rsidRPr="00000000">
        <w:rPr>
          <w:rtl w:val="0"/>
        </w:rPr>
        <w:t xml:space="preserve">6.2 L’accès au Site</w:t>
      </w:r>
    </w:p>
    <w:p w:rsidR="00000000" w:rsidDel="00000000" w:rsidP="00000000" w:rsidRDefault="00000000" w:rsidRPr="00000000" w14:paraId="00000386">
      <w:pPr>
        <w:rPr/>
      </w:pPr>
      <w:bookmarkStart w:colFirst="0" w:colLast="0" w:name="_heading=h.1rvwp1q" w:id="62"/>
      <w:bookmarkEnd w:id="62"/>
      <w:r w:rsidDel="00000000" w:rsidR="00000000" w:rsidRPr="00000000">
        <w:rPr>
          <w:rtl w:val="0"/>
        </w:rPr>
        <w:t xml:space="preserve">Les opérations à l’intérieur des sites de Paris 2024 pendant la période de montage, pendant l’exploitation et pendant la période de démantèlement sont très complexes et impliquent un grand nombre des parties prenantes et sous-traitants intervenants en parallèle dans un Site contraint. </w:t>
      </w:r>
    </w:p>
    <w:p w:rsidR="00000000" w:rsidDel="00000000" w:rsidP="00000000" w:rsidRDefault="00000000" w:rsidRPr="00000000" w14:paraId="00000387">
      <w:pPr>
        <w:rPr/>
      </w:pPr>
      <w:r w:rsidDel="00000000" w:rsidR="00000000" w:rsidRPr="00000000">
        <w:rPr>
          <w:rtl w:val="0"/>
        </w:rPr>
        <w:t xml:space="preserve">Le Candidat retenu est ainsi soumis à certaines procédures de sécurité et d’accès. La liste de procédures sera complétée à l’approche des Jeux et le Candidat retenu s’engage à les appliquer telles que stipulées par Paris 2024.  </w:t>
      </w:r>
    </w:p>
    <w:p w:rsidR="00000000" w:rsidDel="00000000" w:rsidP="00000000" w:rsidRDefault="00000000" w:rsidRPr="00000000" w14:paraId="00000388">
      <w:pPr>
        <w:rPr>
          <w:rFonts w:ascii="Quattrocento Sans" w:cs="Quattrocento Sans" w:eastAsia="Quattrocento Sans" w:hAnsi="Quattrocento Sans"/>
          <w:sz w:val="18"/>
          <w:szCs w:val="18"/>
        </w:rPr>
      </w:pPr>
      <w:r w:rsidDel="00000000" w:rsidR="00000000" w:rsidRPr="00000000">
        <w:rPr>
          <w:rtl w:val="0"/>
        </w:rPr>
        <w:t xml:space="preserve">Le périmètre de sécurité est représenté sur les plans (Venue Design Book) par une zone rouge sécurisée avec un contrôle d’accès pour les personnes (PSA) et les véhicules (VSA). Toutes les personnes entrant dans la zone rouge devront être accréditées.</w:t>
      </w:r>
      <w:r w:rsidDel="00000000" w:rsidR="00000000" w:rsidRPr="00000000">
        <w:rPr>
          <w:rtl w:val="0"/>
        </w:rPr>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Source Sans Pro Light" w:cs="Source Sans Pro Light" w:eastAsia="Source Sans Pro Light" w:hAnsi="Source Sans Pro Light"/>
          <w:b w:val="1"/>
          <w:i w:val="1"/>
          <w:smallCaps w:val="0"/>
          <w:strike w:val="0"/>
          <w:color w:val="006aff"/>
          <w:sz w:val="18"/>
          <w:szCs w:val="18"/>
          <w:u w:val="none"/>
          <w:shd w:fill="auto" w:val="clear"/>
          <w:vertAlign w:val="baseline"/>
        </w:rPr>
      </w:pPr>
      <w:bookmarkStart w:colFirst="0" w:colLast="0" w:name="_heading=h.4bvk7pj" w:id="63"/>
      <w:bookmarkEnd w:id="63"/>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La Carte d’Identité et d’Accréditation Olympique / Paralympique (CIAO/CIAP) </w:t>
      </w:r>
      <w:r w:rsidDel="00000000" w:rsidR="00000000" w:rsidRPr="00000000">
        <w:rPr>
          <w:rtl w:val="0"/>
        </w:rPr>
      </w:r>
    </w:p>
    <w:p w:rsidR="00000000" w:rsidDel="00000000" w:rsidP="00000000" w:rsidRDefault="00000000" w:rsidRPr="00000000" w14:paraId="0000038A">
      <w:pPr>
        <w:rPr>
          <w:sz w:val="18"/>
          <w:szCs w:val="18"/>
        </w:rPr>
      </w:pPr>
      <w:r w:rsidDel="00000000" w:rsidR="00000000" w:rsidRPr="00000000">
        <w:rPr>
          <w:rtl w:val="0"/>
        </w:rPr>
        <w:t xml:space="preserve">Toutes les parties prenantes des Jeux doivent se soumettre aux procédures d’accréditation définies par Paris 2024. Ces procédures concernent toute personne amenée à intervenir sur un Site dont l’accès est contrôlé.  </w:t>
      </w:r>
      <w:r w:rsidDel="00000000" w:rsidR="00000000" w:rsidRPr="00000000">
        <w:rPr>
          <w:rtl w:val="0"/>
        </w:rPr>
      </w:r>
    </w:p>
    <w:p w:rsidR="00000000" w:rsidDel="00000000" w:rsidP="00000000" w:rsidRDefault="00000000" w:rsidRPr="00000000" w14:paraId="0000038B">
      <w:pPr>
        <w:rPr/>
      </w:pPr>
      <w:r w:rsidDel="00000000" w:rsidR="00000000" w:rsidRPr="00000000">
        <w:rPr>
          <w:rtl w:val="0"/>
        </w:rPr>
        <w:t xml:space="preserve">Conformément aux dispositions des articles R211-32 et suivants du Code de la Sécurité Intérieure, Paris 2024 demande l’avis de l’autorité administrative avant de délivrer une CIAO/CIAP. Cet avis est rendu suite à une enquête administrative destinée à vérifier que le comportement ou les agissements de la personne concernée ne sont pas de nature à porter atteinte à la sécurité des personnes, à la sécurité publique ou à la sûreté de l’Etat. </w:t>
      </w:r>
    </w:p>
    <w:p w:rsidR="00000000" w:rsidDel="00000000" w:rsidP="00000000" w:rsidRDefault="00000000" w:rsidRPr="00000000" w14:paraId="0000038C">
      <w:pPr>
        <w:rPr/>
      </w:pPr>
      <w:r w:rsidDel="00000000" w:rsidR="00000000" w:rsidRPr="00000000">
        <w:rPr>
          <w:rtl w:val="0"/>
        </w:rPr>
        <w:t xml:space="preserve">Dans le cas d’un avis défavorable rendu par l’autorité administrative, la personne ne peut obtenir de CIAO/CIAP et son accès au site est donc refusé sans que Paris 2024 ne communiquera la raison. Le Candidat retenu s’engage à remplacer toute personne qui verrait son accès refusé pour ce motif. </w:t>
      </w:r>
    </w:p>
    <w:p w:rsidR="00000000" w:rsidDel="00000000" w:rsidP="00000000" w:rsidRDefault="00000000" w:rsidRPr="00000000" w14:paraId="0000038D">
      <w:pPr>
        <w:spacing w:after="0" w:line="240" w:lineRule="auto"/>
        <w:rPr>
          <w:color w:val="000000"/>
          <w:sz w:val="18"/>
          <w:szCs w:val="18"/>
        </w:rPr>
      </w:pPr>
      <w:r w:rsidDel="00000000" w:rsidR="00000000" w:rsidRPr="00000000">
        <w:rPr>
          <w:b w:val="1"/>
          <w:color w:val="000000"/>
          <w:rtl w:val="0"/>
        </w:rPr>
        <w:t xml:space="preserve">Dans le cadre de la procédure de demande de CIAO/CIAP, les sociétés retenues devront :</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38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Designer une personne responsable de la collecte et saisie des données personnelles des personnes à accréditer  </w:t>
      </w:r>
    </w:p>
    <w:p w:rsidR="00000000" w:rsidDel="00000000" w:rsidP="00000000" w:rsidRDefault="00000000" w:rsidRPr="00000000" w14:paraId="0000038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Respecter le calendrier de collecte des données, sous peine de ne pas recevoir les accréditations demandées en temps voulu  </w:t>
      </w:r>
    </w:p>
    <w:p w:rsidR="00000000" w:rsidDel="00000000" w:rsidP="00000000" w:rsidRDefault="00000000" w:rsidRPr="00000000" w14:paraId="0000039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Paris 2024 transmet dans les meilleurs délais les procédures et guides pratiques pour permettre le traitement administratif par les sociétés retenues.  </w:t>
      </w:r>
      <w:r w:rsidDel="00000000" w:rsidR="00000000" w:rsidRPr="00000000">
        <w:rPr>
          <w:rtl w:val="0"/>
        </w:rPr>
      </w:r>
    </w:p>
    <w:p w:rsidR="00000000" w:rsidDel="00000000" w:rsidP="00000000" w:rsidRDefault="00000000" w:rsidRPr="00000000" w14:paraId="00000391">
      <w:pPr>
        <w:rPr/>
      </w:pPr>
      <w:r w:rsidDel="00000000" w:rsidR="00000000" w:rsidRPr="00000000">
        <w:rPr>
          <w:rtl w:val="0"/>
        </w:rPr>
        <w:t xml:space="preserve">Il est précisé que les Jeux mobilisent un très grand nombre de sous-traitants à la recherche de personnels en intérim. Paris 2024 demande ainsi au Candidat retenu d’anticiper son recrutement et de réaliser les demandes d’accréditation au plus vite dès l’ouverture du système de saisie électronique.  </w:t>
      </w:r>
    </w:p>
    <w:p w:rsidR="00000000" w:rsidDel="00000000" w:rsidP="00000000" w:rsidRDefault="00000000" w:rsidRPr="00000000" w14:paraId="00000392">
      <w:pPr>
        <w:pStyle w:val="Heading2"/>
        <w:rPr/>
      </w:pPr>
      <w:bookmarkStart w:colFirst="0" w:colLast="0" w:name="_heading=h.2r0uhxc" w:id="64"/>
      <w:bookmarkEnd w:id="64"/>
      <w:r w:rsidDel="00000000" w:rsidR="00000000" w:rsidRPr="00000000">
        <w:rPr>
          <w:rtl w:val="0"/>
        </w:rPr>
        <w:t xml:space="preserve">6.3 Les livraisons</w:t>
      </w:r>
    </w:p>
    <w:p w:rsidR="00000000" w:rsidDel="00000000" w:rsidP="00000000" w:rsidRDefault="00000000" w:rsidRPr="00000000" w14:paraId="00000393">
      <w:pPr>
        <w:spacing w:after="240" w:before="240" w:line="240" w:lineRule="auto"/>
        <w:rPr/>
      </w:pPr>
      <w:bookmarkStart w:colFirst="0" w:colLast="0" w:name="_heading=h.1664s55" w:id="65"/>
      <w:bookmarkEnd w:id="65"/>
      <w:r w:rsidDel="00000000" w:rsidR="00000000" w:rsidRPr="00000000">
        <w:rPr>
          <w:rtl w:val="0"/>
        </w:rPr>
        <w:t xml:space="preserve">Il est rappelé que le Candidat retenu est l’unique responsable de l’ensemble de la chaîne logistique liée à l’exploitation des programmes de catering sur le site de compétition concerné (achats, acheminements/livraisons de marchandise, transformation/production, distribution etc.). Il est également responsable du déchargement de ces marchandises et devra être équipé en engins de manutentions nécessaires à son activité. Afin de garantir la continuité de service en cas de problèmes logistiques de livraison, il sera demandé au Candidat retenu de prévoir une réserve de nourriture et boisson en stock sur site, compte tenu déjà d'une éventualité, car aucun réapprovisionnement ne pourra être réalisé.</w:t>
      </w:r>
    </w:p>
    <w:p w:rsidR="00000000" w:rsidDel="00000000" w:rsidP="00000000" w:rsidRDefault="00000000" w:rsidRPr="00000000" w14:paraId="00000394">
      <w:pPr>
        <w:pStyle w:val="Heading3"/>
        <w:rPr>
          <w:rFonts w:ascii="Paris2024" w:cs="Paris2024" w:eastAsia="Paris2024" w:hAnsi="Paris2024"/>
          <w:color w:val="006aff"/>
          <w:sz w:val="24"/>
          <w:szCs w:val="24"/>
        </w:rPr>
      </w:pPr>
      <w:bookmarkStart w:colFirst="0" w:colLast="0" w:name="_heading=h.3q5sasy" w:id="66"/>
      <w:bookmarkEnd w:id="66"/>
      <w:r w:rsidDel="00000000" w:rsidR="00000000" w:rsidRPr="00000000">
        <w:rPr>
          <w:rFonts w:ascii="Paris2024" w:cs="Paris2024" w:eastAsia="Paris2024" w:hAnsi="Paris2024"/>
          <w:color w:val="006aff"/>
          <w:sz w:val="24"/>
          <w:szCs w:val="24"/>
          <w:rtl w:val="0"/>
        </w:rPr>
        <w:t xml:space="preserve">6.3.1. La ponctualité des livraisons </w:t>
      </w:r>
    </w:p>
    <w:p w:rsidR="00000000" w:rsidDel="00000000" w:rsidP="00000000" w:rsidRDefault="00000000" w:rsidRPr="00000000" w14:paraId="00000395">
      <w:pPr>
        <w:rPr>
          <w:sz w:val="18"/>
          <w:szCs w:val="18"/>
        </w:rPr>
      </w:pPr>
      <w:r w:rsidDel="00000000" w:rsidR="00000000" w:rsidRPr="00000000">
        <w:rPr>
          <w:rtl w:val="0"/>
        </w:rPr>
        <w:t xml:space="preserve">Les livraisons pendant la Période d’exclusivité sont supervisées et managées par Paris 2024. Ainsi, chaque livraison doit être pré-enregistrée sur la plateforme créée à cet effet (Master Delivery Schedule – MDS) et être réceptionnée par une personne habilitée du Candidat retenu, au jour et heure prévus précisément. Une livraison mal-renseignée informatiquement ne peut être réceptionnée. Par ailleurs, concernant la marchandise, des dispositions de compensation / de substitution qui doivent être mises en place le cas échéant, sont à la charge Candidat retenu. </w:t>
      </w:r>
      <w:r w:rsidDel="00000000" w:rsidR="00000000" w:rsidRPr="00000000">
        <w:rPr>
          <w:rtl w:val="0"/>
        </w:rPr>
      </w:r>
    </w:p>
    <w:p w:rsidR="00000000" w:rsidDel="00000000" w:rsidP="00000000" w:rsidRDefault="00000000" w:rsidRPr="00000000" w14:paraId="00000396">
      <w:pPr>
        <w:pStyle w:val="Heading3"/>
        <w:rPr>
          <w:rFonts w:ascii="Paris2024" w:cs="Paris2024" w:eastAsia="Paris2024" w:hAnsi="Paris2024"/>
          <w:color w:val="006aff"/>
          <w:sz w:val="24"/>
          <w:szCs w:val="24"/>
        </w:rPr>
      </w:pPr>
      <w:bookmarkStart w:colFirst="0" w:colLast="0" w:name="_heading=h.25b2l0r" w:id="67"/>
      <w:bookmarkEnd w:id="67"/>
      <w:r w:rsidDel="00000000" w:rsidR="00000000" w:rsidRPr="00000000">
        <w:rPr>
          <w:rFonts w:ascii="Paris2024" w:cs="Paris2024" w:eastAsia="Paris2024" w:hAnsi="Paris2024"/>
          <w:color w:val="006aff"/>
          <w:sz w:val="24"/>
          <w:szCs w:val="24"/>
          <w:rtl w:val="0"/>
        </w:rPr>
        <w:t xml:space="preserve">6.3.2. La sécurité des livraisons </w:t>
      </w:r>
    </w:p>
    <w:p w:rsidR="00000000" w:rsidDel="00000000" w:rsidP="00000000" w:rsidRDefault="00000000" w:rsidRPr="00000000" w14:paraId="00000397">
      <w:pPr>
        <w:rPr/>
      </w:pPr>
      <w:r w:rsidDel="00000000" w:rsidR="00000000" w:rsidRPr="00000000">
        <w:rPr>
          <w:color w:val="000000"/>
          <w:rtl w:val="0"/>
        </w:rPr>
        <w:t xml:space="preserve">Le Candidat retenu doit notamment s’assurer de la parfaite conformité du chargement au regard de la sécurité. En effet, </w:t>
      </w:r>
      <w:r w:rsidDel="00000000" w:rsidR="00000000" w:rsidRPr="00000000">
        <w:rPr>
          <w:rtl w:val="0"/>
        </w:rPr>
        <w:t xml:space="preserve">toute marchandise/livraison doit être contrôlée avant d’accéder au site. Des contrôles de sécurité sont donc mis en place sous deux formes possibles</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 </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Paris2024" w:cs="Paris2024" w:eastAsia="Paris2024" w:hAnsi="Paris2024"/>
          <w:b w:val="1"/>
          <w:i w:val="0"/>
          <w:smallCaps w:val="0"/>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LE PROGRAMME DE CERTIFICATION DES FOURNISSEURS (VENDOR CERTIFICATION PROGRAM)</w:t>
      </w:r>
      <w:r w:rsidDel="00000000" w:rsidR="00000000" w:rsidRPr="00000000">
        <w:rPr>
          <w:rFonts w:ascii="Cambria Math" w:cs="Cambria Math" w:eastAsia="Cambria Math" w:hAnsi="Cambria Math"/>
          <w:b w:val="1"/>
          <w:i w:val="0"/>
          <w:smallCaps w:val="1"/>
          <w:strike w:val="0"/>
          <w:color w:val="006aff"/>
          <w:sz w:val="18"/>
          <w:szCs w:val="18"/>
          <w:u w:val="none"/>
          <w:shd w:fill="auto" w:val="clear"/>
          <w:vertAlign w:val="baseline"/>
          <w:rtl w:val="0"/>
        </w:rPr>
        <w:t xml:space="preserve"> </w:t>
      </w:r>
      <w:r w:rsidDel="00000000" w:rsidR="00000000" w:rsidRPr="00000000">
        <w:rPr>
          <w:rFonts w:ascii="Paris2024" w:cs="Paris2024" w:eastAsia="Paris2024" w:hAnsi="Paris2024"/>
          <w:b w:val="1"/>
          <w:i w:val="0"/>
          <w:smallCaps w:val="1"/>
          <w:strike w:val="0"/>
          <w:color w:val="006aff"/>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99">
      <w:pPr>
        <w:rPr>
          <w:rFonts w:ascii="Paris2024" w:cs="Paris2024" w:eastAsia="Paris2024" w:hAnsi="Paris2024"/>
          <w:color w:val="404040"/>
        </w:rPr>
      </w:pPr>
      <w:r w:rsidDel="00000000" w:rsidR="00000000" w:rsidRPr="00000000">
        <w:rPr>
          <w:rtl w:val="0"/>
        </w:rPr>
        <w:t xml:space="preserve">Le programme de certification des fournisseurs (VCP) est un programme olympique mis en place depuis les Jeux 1996 d’Atlanta par l’organisateur pour les fournisseurs. Il définit l’ensemble des mesures de sécurité que les fournisseurs doivent respecter pour devenir «</w:t>
      </w:r>
      <w:r w:rsidDel="00000000" w:rsidR="00000000" w:rsidRPr="00000000">
        <w:rPr>
          <w:rFonts w:ascii="Cambria Math" w:cs="Cambria Math" w:eastAsia="Cambria Math" w:hAnsi="Cambria Math"/>
          <w:color w:val="404040"/>
          <w:rtl w:val="0"/>
        </w:rPr>
        <w:t xml:space="preserve"> </w:t>
      </w:r>
      <w:r w:rsidDel="00000000" w:rsidR="00000000" w:rsidRPr="00000000">
        <w:rPr>
          <w:color w:val="404040"/>
          <w:rtl w:val="0"/>
        </w:rPr>
        <w:t xml:space="preserve">fournisseur</w:t>
      </w:r>
      <w:r w:rsidDel="00000000" w:rsidR="00000000" w:rsidRPr="00000000">
        <w:rPr>
          <w:rtl w:val="0"/>
        </w:rPr>
        <w:t xml:space="preserve"> </w:t>
      </w:r>
      <w:r w:rsidDel="00000000" w:rsidR="00000000" w:rsidRPr="00000000">
        <w:rPr>
          <w:color w:val="404040"/>
          <w:rtl w:val="0"/>
        </w:rPr>
        <w:t xml:space="preserve">certifié</w:t>
      </w:r>
      <w:r w:rsidDel="00000000" w:rsidR="00000000" w:rsidRPr="00000000">
        <w:rPr>
          <w:rFonts w:ascii="Cambria Math" w:cs="Cambria Math" w:eastAsia="Cambria Math" w:hAnsi="Cambria Math"/>
          <w:color w:val="404040"/>
          <w:rtl w:val="0"/>
        </w:rPr>
        <w:t xml:space="preserve"> </w:t>
      </w:r>
      <w:r w:rsidDel="00000000" w:rsidR="00000000" w:rsidRPr="00000000">
        <w:rPr>
          <w:color w:val="404040"/>
          <w:rtl w:val="0"/>
        </w:rPr>
        <w:t xml:space="preserve">».</w:t>
      </w:r>
      <w:r w:rsidDel="00000000" w:rsidR="00000000" w:rsidRPr="00000000">
        <w:rPr>
          <w:rtl w:val="0"/>
        </w:rPr>
        <w:t xml:space="preserve"> Cette certification leur permet d’inspecter, de contrôler, de charger, de sceller leurs propres marchandises. En contrepartie, ils peuvent bénéficier de facilitations d’accès aux aires de scanning des véhicules (Vehicle Screening Area – VSA), ce qui représente un gain de temps précieux.</w:t>
      </w:r>
      <w:r w:rsidDel="00000000" w:rsidR="00000000" w:rsidRPr="00000000">
        <w:rPr>
          <w:rFonts w:ascii="Cambria Math" w:cs="Cambria Math" w:eastAsia="Cambria Math" w:hAnsi="Cambria Math"/>
          <w:color w:val="404040"/>
          <w:rtl w:val="0"/>
        </w:rPr>
        <w:t xml:space="preserve"> </w:t>
      </w:r>
      <w:r w:rsidDel="00000000" w:rsidR="00000000" w:rsidRPr="00000000">
        <w:rPr>
          <w:rFonts w:ascii="Paris2024" w:cs="Paris2024" w:eastAsia="Paris2024" w:hAnsi="Paris2024"/>
          <w:rtl w:val="0"/>
        </w:rPr>
        <w:t xml:space="preserve"> </w:t>
      </w:r>
      <w:r w:rsidDel="00000000" w:rsidR="00000000" w:rsidRPr="00000000">
        <w:rPr>
          <w:rtl w:val="0"/>
        </w:rPr>
      </w:r>
    </w:p>
    <w:p w:rsidR="00000000" w:rsidDel="00000000" w:rsidP="00000000" w:rsidRDefault="00000000" w:rsidRPr="00000000" w14:paraId="0000039A">
      <w:pPr>
        <w:rPr>
          <w:rFonts w:ascii="Paris2024" w:cs="Paris2024" w:eastAsia="Paris2024" w:hAnsi="Paris2024"/>
          <w:color w:val="404040"/>
        </w:rPr>
      </w:pPr>
      <w:r w:rsidDel="00000000" w:rsidR="00000000" w:rsidRPr="00000000">
        <w:rPr>
          <w:color w:val="404040"/>
          <w:rtl w:val="0"/>
        </w:rPr>
        <w:t xml:space="preserve">Tout au long de ce programme, les fournisseurs doivent être en mesure de démontrer une « chaîne de traçabilité sécurisée » grâce à la mise en œuvre de contrôles qualité du produit et de protocoles de sécurité. Ces protocoles ont pour but d’empêcher toute ingérence non autorisée ou toute altération des produits du fournisseur au cours du processus de la chaîne d'approvisionnement. Paris 2024 s’assure du respect des mesures mises en place en organisant des visites d’inspection.</w:t>
      </w:r>
      <w:r w:rsidDel="00000000" w:rsidR="00000000" w:rsidRPr="00000000">
        <w:rPr>
          <w:rFonts w:ascii="Cambria Math" w:cs="Cambria Math" w:eastAsia="Cambria Math" w:hAnsi="Cambria Math"/>
          <w:color w:val="404040"/>
          <w:rtl w:val="0"/>
        </w:rPr>
        <w:t xml:space="preserve"> </w:t>
      </w:r>
      <w:r w:rsidDel="00000000" w:rsidR="00000000" w:rsidRPr="00000000">
        <w:rPr>
          <w:rFonts w:ascii="Paris2024" w:cs="Paris2024" w:eastAsia="Paris2024" w:hAnsi="Paris2024"/>
          <w:color w:val="404040"/>
          <w:rtl w:val="0"/>
        </w:rPr>
        <w:t xml:space="preserve"> </w:t>
      </w:r>
    </w:p>
    <w:p w:rsidR="00000000" w:rsidDel="00000000" w:rsidP="00000000" w:rsidRDefault="00000000" w:rsidRPr="00000000" w14:paraId="0000039B">
      <w:pPr>
        <w:rPr>
          <w:rFonts w:ascii="Paris2024" w:cs="Paris2024" w:eastAsia="Paris2024" w:hAnsi="Paris2024"/>
          <w:color w:val="404040"/>
        </w:rPr>
      </w:pPr>
      <w:r w:rsidDel="00000000" w:rsidR="00000000" w:rsidRPr="00000000">
        <w:rPr>
          <w:color w:val="404040"/>
          <w:rtl w:val="0"/>
        </w:rPr>
        <w:t xml:space="preserve">À l’arrivée sur Site, à l’aire de scanning des véhicules (VSA), le fournisseur certifié doit respecter les « 7 clés d’accès</w:t>
      </w:r>
      <w:r w:rsidDel="00000000" w:rsidR="00000000" w:rsidRPr="00000000">
        <w:rPr>
          <w:rFonts w:ascii="Cambria Math" w:cs="Cambria Math" w:eastAsia="Cambria Math" w:hAnsi="Cambria Math"/>
          <w:color w:val="404040"/>
          <w:rtl w:val="0"/>
        </w:rPr>
        <w:t xml:space="preserve"> </w:t>
      </w:r>
      <w:r w:rsidDel="00000000" w:rsidR="00000000" w:rsidRPr="00000000">
        <w:rPr>
          <w:rFonts w:ascii="Paris2024" w:cs="Paris2024" w:eastAsia="Paris2024" w:hAnsi="Paris2024"/>
          <w:color w:val="404040"/>
          <w:rtl w:val="0"/>
        </w:rPr>
        <w:t xml:space="preserve">»</w:t>
      </w:r>
      <w:r w:rsidDel="00000000" w:rsidR="00000000" w:rsidRPr="00000000">
        <w:rPr>
          <w:color w:val="404040"/>
          <w:rtl w:val="0"/>
        </w:rPr>
        <w:t xml:space="preserve"> suivantes :</w:t>
      </w:r>
      <w:r w:rsidDel="00000000" w:rsidR="00000000" w:rsidRPr="00000000">
        <w:rPr>
          <w:rFonts w:ascii="Paris2024" w:cs="Paris2024" w:eastAsia="Paris2024" w:hAnsi="Paris2024"/>
          <w:color w:val="404040"/>
          <w:rtl w:val="0"/>
        </w:rPr>
        <w:t xml:space="preserve"> </w:t>
      </w:r>
    </w:p>
    <w:p w:rsidR="00000000" w:rsidDel="00000000" w:rsidP="00000000" w:rsidRDefault="00000000" w:rsidRPr="00000000" w14:paraId="0000039C">
      <w:pPr>
        <w:rPr>
          <w:rFonts w:ascii="Paris2024" w:cs="Paris2024" w:eastAsia="Paris2024" w:hAnsi="Paris2024"/>
        </w:rPr>
      </w:pPr>
      <w:r w:rsidDel="00000000" w:rsidR="00000000" w:rsidRPr="00000000">
        <w:rPr/>
        <w:drawing>
          <wp:inline distB="0" distT="0" distL="0" distR="0">
            <wp:extent cx="6181088" cy="2582545"/>
            <wp:effectExtent b="0" l="0" r="0" t="0"/>
            <wp:docPr id="1858500662" name="image3.png"/>
            <a:graphic>
              <a:graphicData uri="http://schemas.openxmlformats.org/drawingml/2006/picture">
                <pic:pic>
                  <pic:nvPicPr>
                    <pic:cNvPr id="0" name="image3.png"/>
                    <pic:cNvPicPr preferRelativeResize="0"/>
                  </pic:nvPicPr>
                  <pic:blipFill>
                    <a:blip r:embed="rId18"/>
                    <a:srcRect b="0" l="0" r="0" t="23921"/>
                    <a:stretch>
                      <a:fillRect/>
                    </a:stretch>
                  </pic:blipFill>
                  <pic:spPr>
                    <a:xfrm>
                      <a:off x="0" y="0"/>
                      <a:ext cx="6181088" cy="2582545"/>
                    </a:xfrm>
                    <a:prstGeom prst="rect"/>
                    <a:ln/>
                  </pic:spPr>
                </pic:pic>
              </a:graphicData>
            </a:graphic>
          </wp:inline>
        </w:drawing>
      </w:r>
      <w:r w:rsidDel="00000000" w:rsidR="00000000" w:rsidRPr="00000000">
        <w:rPr>
          <w:rtl w:val="0"/>
        </w:rPr>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Paris2024" w:cs="Paris2024" w:eastAsia="Paris2024" w:hAnsi="Paris2024"/>
          <w:b w:val="1"/>
          <w:i w:val="0"/>
          <w:smallCaps w:val="0"/>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LE SITE DE CONTRÔLE DÉPORTÉ (REMOTE VEHICLE SCREENING SITE : RMSS)</w:t>
      </w:r>
      <w:r w:rsidDel="00000000" w:rsidR="00000000" w:rsidRPr="00000000">
        <w:rPr>
          <w:rFonts w:ascii="Cambria Math" w:cs="Cambria Math" w:eastAsia="Cambria Math" w:hAnsi="Cambria Math"/>
          <w:b w:val="1"/>
          <w:i w:val="0"/>
          <w:smallCaps w:val="1"/>
          <w:strike w:val="0"/>
          <w:color w:val="006aff"/>
          <w:sz w:val="18"/>
          <w:szCs w:val="18"/>
          <w:u w:val="none"/>
          <w:shd w:fill="auto" w:val="clear"/>
          <w:vertAlign w:val="baseline"/>
          <w:rtl w:val="0"/>
        </w:rPr>
        <w:t xml:space="preserve"> </w:t>
      </w:r>
      <w:r w:rsidDel="00000000" w:rsidR="00000000" w:rsidRPr="00000000">
        <w:rPr>
          <w:rFonts w:ascii="Paris2024" w:cs="Paris2024" w:eastAsia="Paris2024" w:hAnsi="Paris2024"/>
          <w:b w:val="1"/>
          <w:i w:val="0"/>
          <w:smallCaps w:val="1"/>
          <w:strike w:val="0"/>
          <w:color w:val="006aff"/>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9E">
      <w:pPr>
        <w:rPr>
          <w:color w:val="404040"/>
        </w:rPr>
      </w:pPr>
      <w:r w:rsidDel="00000000" w:rsidR="00000000" w:rsidRPr="00000000">
        <w:rPr>
          <w:rtl w:val="0"/>
        </w:rPr>
        <w:t xml:space="preserve">A défaut de certification du fournisseur, le chargement et son véhicule font l’objet d’un contrôle sur un site déporté. Ce site, appelé Remote Material Screening Site (RMSS) est une zone organisée par Paris 2024 pour l’accueil des livraisons, où les véhicules, les marchandises, les chauffeurs et passagers font l’objet de contrôles.  </w:t>
      </w:r>
      <w:r w:rsidDel="00000000" w:rsidR="00000000" w:rsidRPr="00000000">
        <w:rPr>
          <w:rtl w:val="0"/>
        </w:rPr>
      </w:r>
    </w:p>
    <w:p w:rsidR="00000000" w:rsidDel="00000000" w:rsidP="00000000" w:rsidRDefault="00000000" w:rsidRPr="00000000" w14:paraId="0000039F">
      <w:pPr>
        <w:rPr>
          <w:color w:val="404040"/>
        </w:rPr>
      </w:pPr>
      <w:r w:rsidDel="00000000" w:rsidR="00000000" w:rsidRPr="00000000">
        <w:rPr>
          <w:color w:val="404040"/>
          <w:rtl w:val="0"/>
        </w:rPr>
        <w:t xml:space="preserve">Une fois les contrôles effectués, le véhicule est soumis à la même procédure que les fournisseurs certifiés lors de leur arrivée sur site au VSA (et notamment les 7 clés d’accès). </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Paris2024" w:cs="Paris2024" w:eastAsia="Paris2024" w:hAnsi="Paris2024"/>
          <w:b w:val="1"/>
          <w:i w:val="0"/>
          <w:smallCaps w:val="0"/>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LE VEHICLE SCREENING AREA (VSA)</w:t>
      </w:r>
      <w:r w:rsidDel="00000000" w:rsidR="00000000" w:rsidRPr="00000000">
        <w:rPr>
          <w:rFonts w:ascii="Paris2024" w:cs="Paris2024" w:eastAsia="Paris2024" w:hAnsi="Paris2024"/>
          <w:b w:val="1"/>
          <w:i w:val="0"/>
          <w:smallCaps w:val="1"/>
          <w:strike w:val="0"/>
          <w:color w:val="006aff"/>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A1">
      <w:pPr>
        <w:rPr/>
      </w:pPr>
      <w:r w:rsidDel="00000000" w:rsidR="00000000" w:rsidRPr="00000000">
        <w:rPr>
          <w:rtl w:val="0"/>
        </w:rPr>
        <w:t xml:space="preserve">Chaque véhicule voulant pénétrer dans le Périmètre de sécurité d’un site de compétition doit passer par le « Vehicle Screening Area » (VSA) ou point de contrôle d’accès des véhicules. Un temps d’attente est ainsi à prévoir entre l’arrivée du véhicule sur Site et son autorisation d’accès.  </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88" w:lineRule="auto"/>
        <w:ind w:left="0" w:right="0" w:firstLine="0"/>
        <w:jc w:val="both"/>
        <w:rPr>
          <w:rFonts w:ascii="Paris2024" w:cs="Paris2024" w:eastAsia="Paris2024" w:hAnsi="Paris2024"/>
          <w:b w:val="1"/>
          <w:i w:val="0"/>
          <w:smallCaps w:val="0"/>
          <w:strike w:val="0"/>
          <w:color w:val="006aff"/>
          <w:sz w:val="18"/>
          <w:szCs w:val="18"/>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tl w:val="0"/>
        </w:rPr>
        <w:t xml:space="preserve">LE PEDESTRIAN SCREENING AREA (PSA)</w:t>
      </w:r>
      <w:r w:rsidDel="00000000" w:rsidR="00000000" w:rsidRPr="00000000">
        <w:rPr>
          <w:rFonts w:ascii="Paris2024" w:cs="Paris2024" w:eastAsia="Paris2024" w:hAnsi="Paris2024"/>
          <w:b w:val="1"/>
          <w:i w:val="0"/>
          <w:smallCaps w:val="1"/>
          <w:strike w:val="0"/>
          <w:color w:val="006aff"/>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A3">
      <w:pPr>
        <w:rPr/>
      </w:pPr>
      <w:r w:rsidDel="00000000" w:rsidR="00000000" w:rsidRPr="00000000">
        <w:rPr>
          <w:rtl w:val="0"/>
        </w:rPr>
        <w:t xml:space="preserve">Toute personne souhaitant pénétrer dans le Périmètre de sécurité d’un site de compétition doit passer par le point de contrôle d’accès des piétons (PSA). Les règles / directives à respecter avant, pendant et après les Jeux sont transmises au candidat retenu à l’approche de la compétition. </w:t>
      </w:r>
    </w:p>
    <w:p w:rsidR="00000000" w:rsidDel="00000000" w:rsidP="00000000" w:rsidRDefault="00000000" w:rsidRPr="00000000" w14:paraId="000003A4">
      <w:pPr>
        <w:pStyle w:val="Heading2"/>
        <w:rPr/>
      </w:pPr>
      <w:bookmarkStart w:colFirst="0" w:colLast="0" w:name="_heading=h.kgcv8k" w:id="68"/>
      <w:bookmarkEnd w:id="68"/>
      <w:r w:rsidDel="00000000" w:rsidR="00000000" w:rsidRPr="00000000">
        <w:rPr>
          <w:rtl w:val="0"/>
        </w:rPr>
        <w:t xml:space="preserve">6.4 L’organisation sur site </w:t>
      </w:r>
    </w:p>
    <w:p w:rsidR="00000000" w:rsidDel="00000000" w:rsidP="00000000" w:rsidRDefault="00000000" w:rsidRPr="00000000" w14:paraId="000003A5">
      <w:pPr>
        <w:pStyle w:val="Heading3"/>
        <w:rPr>
          <w:rFonts w:ascii="Paris2024" w:cs="Paris2024" w:eastAsia="Paris2024" w:hAnsi="Paris2024"/>
          <w:color w:val="006aff"/>
          <w:sz w:val="24"/>
          <w:szCs w:val="24"/>
        </w:rPr>
      </w:pPr>
      <w:bookmarkStart w:colFirst="0" w:colLast="0" w:name="_heading=h.34g0dwd" w:id="69"/>
      <w:bookmarkEnd w:id="69"/>
      <w:r w:rsidDel="00000000" w:rsidR="00000000" w:rsidRPr="00000000">
        <w:rPr>
          <w:rFonts w:ascii="Paris2024" w:cs="Paris2024" w:eastAsia="Paris2024" w:hAnsi="Paris2024"/>
          <w:color w:val="006aff"/>
          <w:sz w:val="24"/>
          <w:szCs w:val="24"/>
          <w:rtl w:val="0"/>
        </w:rPr>
        <w:t xml:space="preserve">6.4.1 Transport </w:t>
      </w:r>
    </w:p>
    <w:p w:rsidR="00000000" w:rsidDel="00000000" w:rsidP="00000000" w:rsidRDefault="00000000" w:rsidRPr="00000000" w14:paraId="000003A6">
      <w:pPr>
        <w:rPr>
          <w:color w:val="242424"/>
        </w:rPr>
      </w:pPr>
      <w:r w:rsidDel="00000000" w:rsidR="00000000" w:rsidRPr="00000000">
        <w:rPr>
          <w:rtl w:val="0"/>
        </w:rPr>
        <w:t xml:space="preserve">Durant la période des Jeux Olympiques et Paralympiques, Paris 2024 ne fournira pas de moyen de transport spécifique au titulaire de marché afin que son personnel se rende sur les lieux d’exercice des prestations.</w:t>
      </w:r>
      <w:r w:rsidDel="00000000" w:rsidR="00000000" w:rsidRPr="00000000">
        <w:rPr>
          <w:rtl w:val="0"/>
        </w:rPr>
      </w:r>
    </w:p>
    <w:p w:rsidR="00000000" w:rsidDel="00000000" w:rsidP="00000000" w:rsidRDefault="00000000" w:rsidRPr="00000000" w14:paraId="000003A7">
      <w:pPr>
        <w:rPr>
          <w:color w:val="000000"/>
        </w:rPr>
      </w:pPr>
      <w:r w:rsidDel="00000000" w:rsidR="00000000" w:rsidRPr="00000000">
        <w:rPr>
          <w:rtl w:val="0"/>
        </w:rPr>
        <w:t xml:space="preserve">Ainsi, Paris 2024 recommande fortement le recours à la mobilité partagée, et notamment les transports en commun.</w:t>
      </w:r>
      <w:r w:rsidDel="00000000" w:rsidR="00000000" w:rsidRPr="00000000">
        <w:rPr>
          <w:rtl w:val="0"/>
        </w:rPr>
      </w:r>
    </w:p>
    <w:p w:rsidR="00000000" w:rsidDel="00000000" w:rsidP="00000000" w:rsidRDefault="00000000" w:rsidRPr="00000000" w14:paraId="000003A8">
      <w:pPr>
        <w:rPr/>
      </w:pPr>
      <w:r w:rsidDel="00000000" w:rsidR="00000000" w:rsidRPr="00000000">
        <w:rPr>
          <w:rtl w:val="0"/>
        </w:rPr>
        <w:t xml:space="preserve">Pour le personnel utilisant des moyens de transport individuels (voiture, moto, etc.), Paris 2024 ne prévoit pas d’emplacement pour stationner ou d’accès privilégié aux sites de compétition.</w:t>
      </w:r>
    </w:p>
    <w:p w:rsidR="00000000" w:rsidDel="00000000" w:rsidP="00000000" w:rsidRDefault="00000000" w:rsidRPr="00000000" w14:paraId="000003A9">
      <w:pPr>
        <w:pStyle w:val="Heading3"/>
        <w:rPr>
          <w:rFonts w:ascii="Paris2024" w:cs="Paris2024" w:eastAsia="Paris2024" w:hAnsi="Paris2024"/>
          <w:color w:val="006aff"/>
          <w:sz w:val="24"/>
          <w:szCs w:val="24"/>
        </w:rPr>
      </w:pPr>
      <w:bookmarkStart w:colFirst="0" w:colLast="0" w:name="_heading=h.1jlao46" w:id="70"/>
      <w:bookmarkEnd w:id="70"/>
      <w:r w:rsidDel="00000000" w:rsidR="00000000" w:rsidRPr="00000000">
        <w:rPr>
          <w:rFonts w:ascii="Paris2024" w:cs="Paris2024" w:eastAsia="Paris2024" w:hAnsi="Paris2024"/>
          <w:color w:val="006aff"/>
          <w:sz w:val="24"/>
          <w:szCs w:val="24"/>
          <w:rtl w:val="0"/>
        </w:rPr>
        <w:t xml:space="preserve">6.4.2 Hébergement  </w:t>
      </w:r>
    </w:p>
    <w:p w:rsidR="00000000" w:rsidDel="00000000" w:rsidP="00000000" w:rsidRDefault="00000000" w:rsidRPr="00000000" w14:paraId="000003AA">
      <w:pPr>
        <w:rPr>
          <w:rFonts w:ascii="Paris2024" w:cs="Paris2024" w:eastAsia="Paris2024" w:hAnsi="Paris2024"/>
          <w:color w:val="0e0e0e"/>
        </w:rPr>
      </w:pPr>
      <w:r w:rsidDel="00000000" w:rsidR="00000000" w:rsidRPr="00000000">
        <w:rPr>
          <w:color w:val="0e0e0e"/>
          <w:rtl w:val="0"/>
        </w:rPr>
        <w:t xml:space="preserve">A date, Paris 2024 ne prévoit pas de mettre à disposition un hébergement au personnel de ses prestataires.  Toutefois, les Titulaires pourront préciser s’ils considèrent qu’une solution d’hébergement, à leur charge, est nécessaire pour leur permettre de livrer la prestation. </w:t>
      </w:r>
      <w:r w:rsidDel="00000000" w:rsidR="00000000" w:rsidRPr="00000000">
        <w:rPr>
          <w:rtl w:val="0"/>
        </w:rPr>
      </w:r>
    </w:p>
    <w:p w:rsidR="00000000" w:rsidDel="00000000" w:rsidP="00000000" w:rsidRDefault="00000000" w:rsidRPr="00000000" w14:paraId="000003AB">
      <w:pPr>
        <w:rPr>
          <w:rFonts w:ascii="Paris2024" w:cs="Paris2024" w:eastAsia="Paris2024" w:hAnsi="Paris2024"/>
          <w:color w:val="0e0e0e"/>
        </w:rPr>
      </w:pPr>
      <w:r w:rsidDel="00000000" w:rsidR="00000000" w:rsidRPr="00000000">
        <w:rPr>
          <w:color w:val="0e0e0e"/>
          <w:rtl w:val="0"/>
        </w:rPr>
        <w:t xml:space="preserve">Les candidats devront détailler dans leur réponse leurs demandes en matière d’hébergement (niveau de service attendu – étoiles et nombre de personnes par chambre – ainsi que la durée et le volume de personnes concernées). Paris 2024 fera ses meilleurs efforts pour inclure les besoins du candidat dans les hébergements réservés à la workforce des Jeux.</w:t>
      </w:r>
      <w:r w:rsidDel="00000000" w:rsidR="00000000" w:rsidRPr="00000000">
        <w:rPr>
          <w:rtl w:val="0"/>
        </w:rPr>
      </w:r>
    </w:p>
    <w:p w:rsidR="00000000" w:rsidDel="00000000" w:rsidP="00000000" w:rsidRDefault="00000000" w:rsidRPr="00000000" w14:paraId="000003AC">
      <w:pPr>
        <w:rPr>
          <w:rFonts w:ascii="Paris2024" w:cs="Paris2024" w:eastAsia="Paris2024" w:hAnsi="Paris2024"/>
          <w:color w:val="0e0e0e"/>
        </w:rPr>
      </w:pPr>
      <w:r w:rsidDel="00000000" w:rsidR="00000000" w:rsidRPr="00000000">
        <w:rPr>
          <w:color w:val="0e0e0e"/>
          <w:rtl w:val="0"/>
        </w:rPr>
        <w:t xml:space="preserve">Un plan d’attribution sera finalisé fin 2023 et s’il s’avérait impossible pour Paris 2024 de donner accès au Titulaire à sa plateforme de réservation, le Titulaire sera alerté début 2024 et la liste des hébergements qui ne seraient pas utilisés par Paris 2024 leur serait fournie à titre informatif.</w:t>
      </w:r>
      <w:r w:rsidDel="00000000" w:rsidR="00000000" w:rsidRPr="00000000">
        <w:rPr>
          <w:rtl w:val="0"/>
        </w:rPr>
      </w:r>
    </w:p>
    <w:p w:rsidR="00000000" w:rsidDel="00000000" w:rsidP="00000000" w:rsidRDefault="00000000" w:rsidRPr="00000000" w14:paraId="000003AD">
      <w:pPr>
        <w:pStyle w:val="Heading3"/>
        <w:rPr>
          <w:rFonts w:ascii="Paris2024" w:cs="Paris2024" w:eastAsia="Paris2024" w:hAnsi="Paris2024"/>
          <w:color w:val="006aff"/>
          <w:sz w:val="24"/>
          <w:szCs w:val="24"/>
        </w:rPr>
      </w:pPr>
      <w:bookmarkStart w:colFirst="0" w:colLast="0" w:name="_heading=h.43ky6rz" w:id="71"/>
      <w:bookmarkEnd w:id="71"/>
      <w:r w:rsidDel="00000000" w:rsidR="00000000" w:rsidRPr="00000000">
        <w:rPr>
          <w:rFonts w:ascii="Paris2024" w:cs="Paris2024" w:eastAsia="Paris2024" w:hAnsi="Paris2024"/>
          <w:color w:val="006aff"/>
          <w:sz w:val="24"/>
          <w:szCs w:val="24"/>
          <w:rtl w:val="0"/>
        </w:rPr>
        <w:t xml:space="preserve">6.4.3 Code de conduite </w:t>
      </w:r>
    </w:p>
    <w:p w:rsidR="00000000" w:rsidDel="00000000" w:rsidP="00000000" w:rsidRDefault="00000000" w:rsidRPr="00000000" w14:paraId="000003AE">
      <w:pPr>
        <w:rPr>
          <w:color w:val="0e0e0e"/>
        </w:rPr>
      </w:pPr>
      <w:r w:rsidDel="00000000" w:rsidR="00000000" w:rsidRPr="00000000">
        <w:rPr>
          <w:color w:val="0e0e0e"/>
          <w:rtl w:val="0"/>
        </w:rPr>
        <w:t xml:space="preserve">Le ou les Titulaire(s) s’engage(nt)</w:t>
      </w:r>
      <w:r w:rsidDel="00000000" w:rsidR="00000000" w:rsidRPr="00000000">
        <w:rPr>
          <w:rtl w:val="0"/>
        </w:rPr>
        <w:t xml:space="preserve"> à ce que son personnel fasse preuve d’un comportement irréprochable et compatible avec les objectifs poursuivis par Paris 2024 dans l’accomplissement des différentes prestations, notamment en ce qui concerne la discrétion, le respect des interlocuteurs et la courtoisie.</w:t>
      </w:r>
      <w:r w:rsidDel="00000000" w:rsidR="00000000" w:rsidRPr="00000000">
        <w:rPr>
          <w:color w:val="0e0e0e"/>
          <w:rtl w:val="0"/>
        </w:rPr>
        <w:t xml:space="preserve"> </w:t>
      </w:r>
    </w:p>
    <w:p w:rsidR="00000000" w:rsidDel="00000000" w:rsidP="00000000" w:rsidRDefault="00000000" w:rsidRPr="00000000" w14:paraId="000003AF">
      <w:pPr>
        <w:rPr>
          <w:color w:val="0e0e0e"/>
        </w:rPr>
      </w:pPr>
      <w:r w:rsidDel="00000000" w:rsidR="00000000" w:rsidRPr="00000000">
        <w:rPr>
          <w:color w:val="0e0e0e"/>
          <w:rtl w:val="0"/>
        </w:rPr>
        <w:t xml:space="preserve">En cas de comportement ou d’attitude estimés incompatibles avec les objectifs poursuivis pendant les Jeux, Paris 2024 peut solliciter le remplacement immédiat d’un agent auprès du Titulaire. A titre informatif, les motifs suivants peuvent justifier qu’une exclusion temporaire ou définitive d’un personnel soit sollicitée auprès du Titulaire : état d’ébriété, usage de stupéfiants, propos à caractères injurieux, raciste ou discriminatoires, attitude déplacée, non-respect des consignes, abandon de poste ou retard répétés, détournement d’informations, usage de matériel non autorisé, etc.  </w:t>
      </w:r>
    </w:p>
    <w:p w:rsidR="00000000" w:rsidDel="00000000" w:rsidP="00000000" w:rsidRDefault="00000000" w:rsidRPr="00000000" w14:paraId="000003B0">
      <w:pPr>
        <w:rPr>
          <w:rFonts w:ascii="Paris2024" w:cs="Paris2024" w:eastAsia="Paris2024" w:hAnsi="Paris2024"/>
          <w:color w:val="0e0e0e"/>
        </w:rPr>
      </w:pPr>
      <w:r w:rsidDel="00000000" w:rsidR="00000000" w:rsidRPr="00000000">
        <w:rPr>
          <w:color w:val="0e0e0e"/>
          <w:rtl w:val="0"/>
        </w:rPr>
        <w:t xml:space="preserve">Un code de conduite sera fourni par Paris 2024 au Titulaire qui s’assurera de la lecture et de l’adhésion de chaque agent à respecter ces prescriptions. </w:t>
      </w:r>
      <w:r w:rsidDel="00000000" w:rsidR="00000000" w:rsidRPr="00000000">
        <w:rPr>
          <w:rFonts w:ascii="Paris2024" w:cs="Paris2024" w:eastAsia="Paris2024" w:hAnsi="Paris2024"/>
          <w:color w:val="0e0e0e"/>
          <w:rtl w:val="0"/>
        </w:rPr>
        <w:t xml:space="preserve"> </w:t>
      </w:r>
    </w:p>
    <w:p w:rsidR="00000000" w:rsidDel="00000000" w:rsidP="00000000" w:rsidRDefault="00000000" w:rsidRPr="00000000" w14:paraId="000003B1">
      <w:pPr>
        <w:pStyle w:val="Heading3"/>
        <w:rPr>
          <w:rFonts w:ascii="Paris2024" w:cs="Paris2024" w:eastAsia="Paris2024" w:hAnsi="Paris2024"/>
          <w:color w:val="006aff"/>
          <w:sz w:val="24"/>
          <w:szCs w:val="24"/>
        </w:rPr>
      </w:pPr>
      <w:bookmarkStart w:colFirst="0" w:colLast="0" w:name="_heading=h.2iq8gzs" w:id="72"/>
      <w:bookmarkEnd w:id="72"/>
      <w:r w:rsidDel="00000000" w:rsidR="00000000" w:rsidRPr="00000000">
        <w:rPr>
          <w:rFonts w:ascii="Paris2024" w:cs="Paris2024" w:eastAsia="Paris2024" w:hAnsi="Paris2024"/>
          <w:color w:val="006aff"/>
          <w:sz w:val="24"/>
          <w:szCs w:val="24"/>
          <w:rtl w:val="0"/>
        </w:rPr>
        <w:t xml:space="preserve">6.4.4 Uniforme </w:t>
      </w:r>
    </w:p>
    <w:p w:rsidR="00000000" w:rsidDel="00000000" w:rsidP="00000000" w:rsidRDefault="00000000" w:rsidRPr="00000000" w14:paraId="000003B2">
      <w:pPr>
        <w:rPr>
          <w:rFonts w:ascii="Quattrocento Sans" w:cs="Quattrocento Sans" w:eastAsia="Quattrocento Sans" w:hAnsi="Quattrocento Sans"/>
          <w:color w:val="0e0e0e"/>
        </w:rPr>
      </w:pPr>
      <w:r w:rsidDel="00000000" w:rsidR="00000000" w:rsidRPr="00000000">
        <w:rPr>
          <w:color w:val="0e0e0e"/>
          <w:rtl w:val="0"/>
        </w:rPr>
        <w:t xml:space="preserve">Pendant les Jeux, la règle du Clean Venue s’appliquera et le personnel du Titulaire devra être équipé avec des tenues de travail en très bon état général, adaptées à la prestation à effectuer par le personnel concerné, sans logo ou marque d’aucune sorte. Ces tenues devront être approuvées en amont de la phase opérationnelle par Paris 2024. </w:t>
      </w:r>
      <w:r w:rsidDel="00000000" w:rsidR="00000000" w:rsidRPr="00000000">
        <w:rPr>
          <w:rFonts w:ascii="Paris2024" w:cs="Paris2024" w:eastAsia="Paris2024" w:hAnsi="Paris2024"/>
          <w:color w:val="0e0e0e"/>
          <w:rtl w:val="0"/>
        </w:rPr>
        <w:t xml:space="preserve"> </w:t>
      </w:r>
      <w:r w:rsidDel="00000000" w:rsidR="00000000" w:rsidRPr="00000000">
        <w:rPr>
          <w:rtl w:val="0"/>
        </w:rPr>
      </w:r>
    </w:p>
    <w:p w:rsidR="00000000" w:rsidDel="00000000" w:rsidP="00000000" w:rsidRDefault="00000000" w:rsidRPr="00000000" w14:paraId="000003B3">
      <w:pPr>
        <w:rPr>
          <w:rFonts w:ascii="Quattrocento Sans" w:cs="Quattrocento Sans" w:eastAsia="Quattrocento Sans" w:hAnsi="Quattrocento Sans"/>
          <w:color w:val="0e0e0e"/>
        </w:rPr>
      </w:pPr>
      <w:r w:rsidDel="00000000" w:rsidR="00000000" w:rsidRPr="00000000">
        <w:rPr>
          <w:color w:val="0e0e0e"/>
          <w:rtl w:val="0"/>
        </w:rPr>
        <w:t xml:space="preserve">Les caractéristiques attendues de la tenue vestimentaire sont les suivantes</w:t>
      </w:r>
      <w:r w:rsidDel="00000000" w:rsidR="00000000" w:rsidRPr="00000000">
        <w:rPr>
          <w:rFonts w:ascii="Cambria Math" w:cs="Cambria Math" w:eastAsia="Cambria Math" w:hAnsi="Cambria Math"/>
          <w:color w:val="0e0e0e"/>
          <w:rtl w:val="0"/>
        </w:rPr>
        <w:t xml:space="preserve"> </w:t>
      </w:r>
      <w:r w:rsidDel="00000000" w:rsidR="00000000" w:rsidRPr="00000000">
        <w:rPr>
          <w:rFonts w:ascii="Paris2024" w:cs="Paris2024" w:eastAsia="Paris2024" w:hAnsi="Paris2024"/>
          <w:color w:val="0e0e0e"/>
          <w:rtl w:val="0"/>
        </w:rPr>
        <w:t xml:space="preserve">:  </w:t>
      </w:r>
      <w:r w:rsidDel="00000000" w:rsidR="00000000" w:rsidRPr="00000000">
        <w:rPr>
          <w:rtl w:val="0"/>
        </w:rPr>
      </w:r>
    </w:p>
    <w:p w:rsidR="00000000" w:rsidDel="00000000" w:rsidP="00000000" w:rsidRDefault="00000000" w:rsidRPr="00000000" w14:paraId="000003B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e0e0e"/>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e0e0e"/>
          <w:sz w:val="21"/>
          <w:szCs w:val="21"/>
          <w:u w:val="none"/>
          <w:shd w:fill="auto" w:val="clear"/>
          <w:vertAlign w:val="baseline"/>
          <w:rtl w:val="0"/>
        </w:rPr>
        <w:t xml:space="preserve">Être facilement identifiable par les membres du staff Paris 2024 ; </w:t>
      </w:r>
    </w:p>
    <w:p w:rsidR="00000000" w:rsidDel="00000000" w:rsidP="00000000" w:rsidRDefault="00000000" w:rsidRPr="00000000" w14:paraId="000003B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e0e0e"/>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e0e0e"/>
          <w:sz w:val="21"/>
          <w:szCs w:val="21"/>
          <w:u w:val="none"/>
          <w:shd w:fill="auto" w:val="clear"/>
          <w:vertAlign w:val="baseline"/>
          <w:rtl w:val="0"/>
        </w:rPr>
        <w:t xml:space="preserve">Être de bonne qualité et avec un design attractif ;</w:t>
      </w:r>
    </w:p>
    <w:p w:rsidR="00000000" w:rsidDel="00000000" w:rsidP="00000000" w:rsidRDefault="00000000" w:rsidRPr="00000000" w14:paraId="000003B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e0e0e"/>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e0e0e"/>
          <w:sz w:val="21"/>
          <w:szCs w:val="21"/>
          <w:u w:val="none"/>
          <w:shd w:fill="auto" w:val="clear"/>
          <w:vertAlign w:val="baseline"/>
          <w:rtl w:val="0"/>
        </w:rPr>
        <w:t xml:space="preserve">Ne pas faire apparaitre de logo ou de marque d’aucune sorte. </w:t>
      </w:r>
    </w:p>
    <w:p w:rsidR="00000000" w:rsidDel="00000000" w:rsidP="00000000" w:rsidRDefault="00000000" w:rsidRPr="00000000" w14:paraId="000003B7">
      <w:pPr>
        <w:rPr>
          <w:color w:val="0e0e0e"/>
        </w:rPr>
      </w:pPr>
      <w:r w:rsidDel="00000000" w:rsidR="00000000" w:rsidRPr="00000000">
        <w:rPr>
          <w:color w:val="0e0e0e"/>
          <w:rtl w:val="0"/>
        </w:rPr>
        <w:t xml:space="preserve">Paris 2024 se réserve le droit d’imposer la couleur des différents éléments composant l’uniforme. </w:t>
      </w:r>
    </w:p>
    <w:p w:rsidR="00000000" w:rsidDel="00000000" w:rsidP="00000000" w:rsidRDefault="00000000" w:rsidRPr="00000000" w14:paraId="000003B8">
      <w:pPr>
        <w:rPr>
          <w:color w:val="0e0e0e"/>
        </w:rPr>
      </w:pPr>
      <w:r w:rsidDel="00000000" w:rsidR="00000000" w:rsidRPr="00000000">
        <w:rPr>
          <w:color w:val="0e0e0e"/>
          <w:rtl w:val="0"/>
        </w:rPr>
        <w:t xml:space="preserve">Le Titulaire a l’obligation de s’assurer seul que ses personnels aient toujours</w:t>
      </w:r>
      <w:r w:rsidDel="00000000" w:rsidR="00000000" w:rsidRPr="00000000">
        <w:rPr>
          <w:i w:val="1"/>
          <w:rtl w:val="0"/>
        </w:rPr>
        <w:t xml:space="preserve"> </w:t>
      </w:r>
      <w:r w:rsidDel="00000000" w:rsidR="00000000" w:rsidRPr="00000000">
        <w:rPr>
          <w:rtl w:val="0"/>
        </w:rPr>
        <w:t xml:space="preserve">une tenue propre et en bon état général pendant toute la durée de l’événement.</w:t>
      </w:r>
      <w:r w:rsidDel="00000000" w:rsidR="00000000" w:rsidRPr="00000000">
        <w:rPr>
          <w:color w:val="0e0e0e"/>
          <w:rtl w:val="0"/>
        </w:rPr>
        <w:t xml:space="preserve"> </w:t>
      </w:r>
    </w:p>
    <w:p w:rsidR="00000000" w:rsidDel="00000000" w:rsidP="00000000" w:rsidRDefault="00000000" w:rsidRPr="00000000" w14:paraId="000003B9">
      <w:pPr>
        <w:rPr>
          <w:color w:val="0e0e0e"/>
        </w:rPr>
      </w:pPr>
      <w:r w:rsidDel="00000000" w:rsidR="00000000" w:rsidRPr="00000000">
        <w:rPr>
          <w:color w:val="0e0e0e"/>
          <w:rtl w:val="0"/>
        </w:rPr>
        <w:t xml:space="preserve">La fourniture des tenues et leur entretien (nettoyage, remplacement le cas échéant) sont à la charge du Titulaire. Ce coût est réputé intégré dans les prix du Titulaire intégrés dans la DPGF. </w:t>
      </w:r>
    </w:p>
    <w:p w:rsidR="00000000" w:rsidDel="00000000" w:rsidP="00000000" w:rsidRDefault="00000000" w:rsidRPr="00000000" w14:paraId="000003BA">
      <w:pPr>
        <w:rPr>
          <w:color w:val="0e0e0e"/>
        </w:rPr>
      </w:pPr>
      <w:r w:rsidDel="00000000" w:rsidR="00000000" w:rsidRPr="00000000">
        <w:rPr>
          <w:b w:val="1"/>
          <w:i w:val="1"/>
          <w:color w:val="0e0e0e"/>
          <w:rtl w:val="0"/>
        </w:rPr>
        <w:t xml:space="preserve">Les Candidats devront préciser dans leur mémoire technique comment ils souhaitent s’organiser pour la gestion des uniformes : livraisons sur site ou fourniture des uniformes avant l’arrivée sur site. Ils pourront aussi proposer un exemple d’uniforme.</w:t>
      </w:r>
      <w:r w:rsidDel="00000000" w:rsidR="00000000" w:rsidRPr="00000000">
        <w:rPr>
          <w:color w:val="0e0e0e"/>
          <w:rtl w:val="0"/>
        </w:rPr>
        <w:t xml:space="preserve"> </w:t>
      </w:r>
    </w:p>
    <w:p w:rsidR="00000000" w:rsidDel="00000000" w:rsidP="00000000" w:rsidRDefault="00000000" w:rsidRPr="00000000" w14:paraId="000003BB">
      <w:pPr>
        <w:pStyle w:val="Heading3"/>
        <w:rPr>
          <w:rFonts w:ascii="Paris2024" w:cs="Paris2024" w:eastAsia="Paris2024" w:hAnsi="Paris2024"/>
          <w:color w:val="006aff"/>
          <w:sz w:val="24"/>
          <w:szCs w:val="24"/>
        </w:rPr>
      </w:pPr>
      <w:bookmarkStart w:colFirst="0" w:colLast="0" w:name="_heading=h.xvir7l" w:id="73"/>
      <w:bookmarkEnd w:id="73"/>
      <w:r w:rsidDel="00000000" w:rsidR="00000000" w:rsidRPr="00000000">
        <w:rPr>
          <w:rFonts w:ascii="Paris2024" w:cs="Paris2024" w:eastAsia="Paris2024" w:hAnsi="Paris2024"/>
          <w:color w:val="006aff"/>
          <w:sz w:val="24"/>
          <w:szCs w:val="24"/>
          <w:rtl w:val="0"/>
        </w:rPr>
        <w:t xml:space="preserve">6.4.5 Recrutement et formation </w:t>
      </w:r>
    </w:p>
    <w:p w:rsidR="00000000" w:rsidDel="00000000" w:rsidP="00000000" w:rsidRDefault="00000000" w:rsidRPr="00000000" w14:paraId="000003BC">
      <w:pPr>
        <w:rPr>
          <w:color w:val="0e0e0e"/>
        </w:rPr>
      </w:pPr>
      <w:r w:rsidDel="00000000" w:rsidR="00000000" w:rsidRPr="00000000">
        <w:rPr>
          <w:color w:val="0e0e0e"/>
          <w:rtl w:val="0"/>
        </w:rPr>
        <w:t xml:space="preserve">Compte tenu du contexte de concomitance de la demande liée aux Jeux sur le marché francilien, Paris 2024 informe le candidat que le marché du travail pourra être plus concurrentiel et que le recrutement du personnel nécessaire devra être anticipé. </w:t>
      </w:r>
    </w:p>
    <w:p w:rsidR="00000000" w:rsidDel="00000000" w:rsidP="00000000" w:rsidRDefault="00000000" w:rsidRPr="00000000" w14:paraId="000003BD">
      <w:pPr>
        <w:rPr/>
      </w:pPr>
      <w:r w:rsidDel="00000000" w:rsidR="00000000" w:rsidRPr="00000000">
        <w:rPr>
          <w:rtl w:val="0"/>
        </w:rPr>
        <w:t xml:space="preserve">Le Candidat doit également prendre en compte les besoins de formation spécifiques de ses salariés, eu égard au contexte de l’organisation des Jeux (maîtriser les gestes, postures ou process définis par Paris 2024, maîtriser le fonctionnement du site d’affectation, savoir prendre en charge les personnes en situation de handicap accueillies sur les sites - athlètes, visiteurs, spectateurs -, adopter les gestes de prévention et de sécurité propres aux Jeux, etc.). Le Titulaire sera une partie prenante très importante pour contribuer à l’atteinte de ces objectifs.</w:t>
      </w:r>
    </w:p>
    <w:p w:rsidR="00000000" w:rsidDel="00000000" w:rsidP="00000000" w:rsidRDefault="00000000" w:rsidRPr="00000000" w14:paraId="000003BE">
      <w:pPr>
        <w:rPr/>
      </w:pPr>
      <w:r w:rsidDel="00000000" w:rsidR="00000000" w:rsidRPr="00000000">
        <w:rPr>
          <w:rtl w:val="0"/>
        </w:rPr>
        <w:t xml:space="preserve">Paris 2024 proposera des formations obligatoires à destination de ses prestataires de manière à les former sur ces méthodes, process et modes de fonctionnement. </w:t>
      </w:r>
    </w:p>
    <w:p w:rsidR="00000000" w:rsidDel="00000000" w:rsidP="00000000" w:rsidRDefault="00000000" w:rsidRPr="00000000" w14:paraId="000003BF">
      <w:pPr>
        <w:rPr>
          <w:sz w:val="18"/>
          <w:szCs w:val="18"/>
        </w:rPr>
      </w:pPr>
      <w:r w:rsidDel="00000000" w:rsidR="00000000" w:rsidRPr="00000000">
        <w:rPr>
          <w:rtl w:val="0"/>
        </w:rPr>
        <w:t xml:space="preserve">Plusieurs formations et sensibilisations générales aux évènements et au projet Paris 2024 auront également lieu selon un calendrier que Paris 2024 transmettra ultérieurement, adaptées au rôle de chaque personne travaillant pour les Jeux. Le titulaire du marché s’engage à suivre assidûment ces évènements et à rendre compte à son personnel en temps utiles. Une partie de ces formations sera dispensée en distanciel grâce à des outils d’e-learning mis à disposition par Paris 2024 via l’Académie 2024.</w:t>
      </w:r>
      <w:r w:rsidDel="00000000" w:rsidR="00000000" w:rsidRPr="00000000">
        <w:rPr>
          <w:rtl w:val="0"/>
        </w:rPr>
      </w:r>
    </w:p>
    <w:p w:rsidR="00000000" w:rsidDel="00000000" w:rsidP="00000000" w:rsidRDefault="00000000" w:rsidRPr="00000000" w14:paraId="000003C0">
      <w:pPr>
        <w:pStyle w:val="Heading1"/>
        <w:rPr/>
      </w:pPr>
      <w:bookmarkStart w:colFirst="0" w:colLast="0" w:name="_heading=h.3hv69ve" w:id="74"/>
      <w:bookmarkEnd w:id="74"/>
      <w:r w:rsidDel="00000000" w:rsidR="00000000" w:rsidRPr="00000000">
        <w:rPr>
          <w:rtl w:val="0"/>
        </w:rPr>
        <w:t xml:space="preserve">7.  La proposition commerciale</w:t>
      </w:r>
    </w:p>
    <w:p w:rsidR="00000000" w:rsidDel="00000000" w:rsidP="00000000" w:rsidRDefault="00000000" w:rsidRPr="00000000" w14:paraId="000003C1">
      <w:pPr>
        <w:pStyle w:val="Heading2"/>
        <w:rPr/>
      </w:pPr>
      <w:bookmarkStart w:colFirst="0" w:colLast="0" w:name="_heading=h.1x0gk37" w:id="75"/>
      <w:bookmarkEnd w:id="75"/>
      <w:r w:rsidDel="00000000" w:rsidR="00000000" w:rsidRPr="00000000">
        <w:rPr>
          <w:rtl w:val="0"/>
        </w:rPr>
        <w:t xml:space="preserve">7.1 Le modèle commercial </w:t>
      </w:r>
    </w:p>
    <w:p w:rsidR="00000000" w:rsidDel="00000000" w:rsidP="00000000" w:rsidRDefault="00000000" w:rsidRPr="00000000" w14:paraId="000003C2">
      <w:pPr>
        <w:rPr/>
      </w:pPr>
      <w:r w:rsidDel="00000000" w:rsidR="00000000" w:rsidRPr="00000000">
        <w:rPr>
          <w:rtl w:val="0"/>
        </w:rPr>
        <w:t xml:space="preserve">En termes de proposition commerciale, les prestations de restaurations payantes suivent une logique de modèle business type concession payante F&amp;B. Les concessions F&amp;B doivent être financées intégralement à travers le Chiffre d'affaires HT réalisé dans les différents points de vente. Le Candidat retenu devra proposer une gamme de produits et des prix de vente qui englobe l’intégralité des coûts de mise en place associés.</w:t>
      </w:r>
    </w:p>
    <w:p w:rsidR="00000000" w:rsidDel="00000000" w:rsidP="00000000" w:rsidRDefault="00000000" w:rsidRPr="00000000" w14:paraId="000003C3">
      <w:pPr>
        <w:rPr/>
      </w:pPr>
      <w:r w:rsidDel="00000000" w:rsidR="00000000" w:rsidRPr="00000000">
        <w:rPr>
          <w:rtl w:val="0"/>
        </w:rPr>
        <w:t xml:space="preserve">En annexe financière, le Candidat est invité à proposer à Paris 2024 une redevance selon l'un des modèles suivants ou une combinaison des deux :</w:t>
      </w:r>
    </w:p>
    <w:p w:rsidR="00000000" w:rsidDel="00000000" w:rsidP="00000000" w:rsidRDefault="00000000" w:rsidRPr="00000000" w14:paraId="000003C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Une commission variable de x% sur le Chiffre d'affaires HT réalisé </w:t>
      </w:r>
    </w:p>
    <w:bookmarkStart w:colFirst="0" w:colLast="0" w:name="bookmark=id.4h042r0" w:id="76"/>
    <w:bookmarkEnd w:id="76"/>
    <w:p w:rsidR="00000000" w:rsidDel="00000000" w:rsidP="00000000" w:rsidRDefault="00000000" w:rsidRPr="00000000" w14:paraId="000003C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Paris 2024 fournira les gobelets réutilisables brandés gratuitement au candidat retenu qui devra ensuite servir toutes les boissons fraîches dans ces gobelets contre une consigne fixée à 2€ TTC par verre, encaissée auprès du consommateur Grand Public. Il sera ensuite laissé libre choix au consommateur de rendre son gobelet réutilisable dans les concessions F&amp;B gérées par le Candidat retenu et ainsi récupérer sa consigne ou sinon repartir avec le verre en souvenir. Paris 2024 facturera toutes les consignes non-réclamées par le public au Candidat retenu (2€ TTC / 1,2)</w:t>
      </w:r>
    </w:p>
    <w:p w:rsidR="00000000" w:rsidDel="00000000" w:rsidP="00000000" w:rsidRDefault="00000000" w:rsidRPr="00000000" w14:paraId="000003C6">
      <w:pPr>
        <w:pStyle w:val="Heading2"/>
        <w:rPr/>
      </w:pPr>
      <w:bookmarkStart w:colFirst="0" w:colLast="0" w:name="_heading=h.2w5ecyt" w:id="77"/>
      <w:bookmarkEnd w:id="77"/>
      <w:r w:rsidDel="00000000" w:rsidR="00000000" w:rsidRPr="00000000">
        <w:rPr>
          <w:rtl w:val="0"/>
        </w:rPr>
        <w:t xml:space="preserve">7.2 La transparence des opérations </w:t>
      </w:r>
    </w:p>
    <w:p w:rsidR="00000000" w:rsidDel="00000000" w:rsidP="00000000" w:rsidRDefault="00000000" w:rsidRPr="00000000" w14:paraId="000003C7">
      <w:pPr>
        <w:rPr>
          <w:sz w:val="18"/>
          <w:szCs w:val="18"/>
        </w:rPr>
      </w:pPr>
      <w:r w:rsidDel="00000000" w:rsidR="00000000" w:rsidRPr="00000000">
        <w:rPr>
          <w:rtl w:val="0"/>
        </w:rPr>
        <w:t xml:space="preserve">Pour des raisons de transparence et afin de permettre à Paris 2024 de superviser l’ensemble des opérations, le Candidat retenu s’engage à</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w:t>
      </w:r>
      <w:r w:rsidDel="00000000" w:rsidR="00000000" w:rsidRPr="00000000">
        <w:rPr>
          <w:rFonts w:ascii="Paris2024" w:cs="Paris2024" w:eastAsia="Paris2024" w:hAnsi="Paris2024"/>
          <w:rtl w:val="0"/>
        </w:rPr>
        <w:t xml:space="preserve"> </w:t>
      </w:r>
      <w:r w:rsidDel="00000000" w:rsidR="00000000" w:rsidRPr="00000000">
        <w:rPr>
          <w:rtl w:val="0"/>
        </w:rPr>
      </w:r>
    </w:p>
    <w:p w:rsidR="00000000" w:rsidDel="00000000" w:rsidP="00000000" w:rsidRDefault="00000000" w:rsidRPr="00000000" w14:paraId="000003C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Fournir ses procédures d’exploitation et les adapter le cas échéant au contexte des sites de compétition avec la validation de Paris 2024 </w:t>
      </w:r>
    </w:p>
    <w:p w:rsidR="00000000" w:rsidDel="00000000" w:rsidP="00000000" w:rsidRDefault="00000000" w:rsidRPr="00000000" w14:paraId="000003C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Réceptionner les camions et décharger les marchandises conformément aux procédures de sécurité imposées par Paris 2024 et les Autorités Publiques </w:t>
      </w:r>
      <w:r w:rsidDel="00000000" w:rsidR="00000000" w:rsidRPr="00000000">
        <w:rPr>
          <w:rtl w:val="0"/>
        </w:rPr>
      </w:r>
    </w:p>
    <w:p w:rsidR="00000000" w:rsidDel="00000000" w:rsidP="00000000" w:rsidRDefault="00000000" w:rsidRPr="00000000" w14:paraId="000003C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Autoriser Paris 2024 à accéder et contrôler les opérations, avec préavis ou de façon inopinée </w:t>
      </w:r>
      <w:r w:rsidDel="00000000" w:rsidR="00000000" w:rsidRPr="00000000">
        <w:rPr>
          <w:rtl w:val="0"/>
        </w:rPr>
      </w:r>
    </w:p>
    <w:p w:rsidR="00000000" w:rsidDel="00000000" w:rsidP="00000000" w:rsidRDefault="00000000" w:rsidRPr="00000000" w14:paraId="000003C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Autoriser Paris 2024 à accéder à la base de données du Candidat retenu via un outil de reporting de Paris 2024 qui va chercher certaines informations directement à la source (suivi des stocks, entrées / sorties de marchandises, suivi des consommations, etc.) </w:t>
      </w:r>
      <w:r w:rsidDel="00000000" w:rsidR="00000000" w:rsidRPr="00000000">
        <w:rPr>
          <w:rtl w:val="0"/>
        </w:rPr>
      </w:r>
    </w:p>
    <w:p w:rsidR="00000000" w:rsidDel="00000000" w:rsidP="00000000" w:rsidRDefault="00000000" w:rsidRPr="00000000" w14:paraId="000003C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Fournir à Paris 2024 les éléments nécessaires de suivi des températures sur demande (entrepôt / transport / magasins) </w:t>
      </w:r>
      <w:r w:rsidDel="00000000" w:rsidR="00000000" w:rsidRPr="00000000">
        <w:rPr>
          <w:rtl w:val="0"/>
        </w:rPr>
      </w:r>
    </w:p>
    <w:p w:rsidR="00000000" w:rsidDel="00000000" w:rsidP="00000000" w:rsidRDefault="00000000" w:rsidRPr="00000000" w14:paraId="000003C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120" w:before="0" w:line="240" w:lineRule="auto"/>
        <w:ind w:left="851" w:right="0" w:hanging="284"/>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Fournir à Paris 2024 un reporting journalier complet des opérations catering du site (rapport de vente par point de vente, volume de repas produits et distribués etc.) </w:t>
      </w:r>
      <w:r w:rsidDel="00000000" w:rsidR="00000000" w:rsidRPr="00000000">
        <w:rPr>
          <w:rtl w:val="0"/>
        </w:rPr>
      </w:r>
    </w:p>
    <w:p w:rsidR="00000000" w:rsidDel="00000000" w:rsidP="00000000" w:rsidRDefault="00000000" w:rsidRPr="00000000" w14:paraId="000003CE">
      <w:pPr>
        <w:pStyle w:val="Heading2"/>
        <w:rPr/>
      </w:pPr>
      <w:bookmarkStart w:colFirst="0" w:colLast="0" w:name="_heading=h.1baon6m" w:id="78"/>
      <w:bookmarkEnd w:id="78"/>
      <w:r w:rsidDel="00000000" w:rsidR="00000000" w:rsidRPr="00000000">
        <w:rPr>
          <w:rtl w:val="0"/>
        </w:rPr>
        <w:t xml:space="preserve">7.3 Les échéances et livrables cléS   </w:t>
      </w:r>
    </w:p>
    <w:p w:rsidR="00000000" w:rsidDel="00000000" w:rsidP="00000000" w:rsidRDefault="00000000" w:rsidRPr="00000000" w14:paraId="000003CF">
      <w:pPr>
        <w:rPr/>
      </w:pPr>
      <w:r w:rsidDel="00000000" w:rsidR="00000000" w:rsidRPr="00000000">
        <w:rPr>
          <w:rtl w:val="0"/>
        </w:rPr>
        <w:t xml:space="preserve">Dans le cadre de l’atelier thématique «</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Modèle commercial</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 (voir l’Annexe A «</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Planning prévisionnel de l’Appel d’Offres »)., le Candidat doit proposer un rétroplanning indiquant les échéances et livrables clé du projet. </w:t>
      </w:r>
    </w:p>
    <w:p w:rsidR="00000000" w:rsidDel="00000000" w:rsidP="00000000" w:rsidRDefault="00000000" w:rsidRPr="00000000" w14:paraId="000003D0">
      <w:pPr>
        <w:rPr/>
      </w:pPr>
      <w:r w:rsidDel="00000000" w:rsidR="00000000" w:rsidRPr="00000000">
        <w:rPr>
          <w:rtl w:val="0"/>
        </w:rPr>
        <w:t xml:space="preserve">Le planning final et la liste définitive des livrables sont validés par Paris 2024 en collaboration avec le Candidat retenu. Ci-après une liste non-exhaustive des livrables attendus</w:t>
      </w:r>
      <w:r w:rsidDel="00000000" w:rsidR="00000000" w:rsidRPr="00000000">
        <w:rPr>
          <w:rFonts w:ascii="Cambria Math" w:cs="Cambria Math" w:eastAsia="Cambria Math" w:hAnsi="Cambria Math"/>
          <w:rtl w:val="0"/>
        </w:rPr>
        <w:t xml:space="preserve"> </w:t>
      </w:r>
      <w:r w:rsidDel="00000000" w:rsidR="00000000" w:rsidRPr="00000000">
        <w:rPr>
          <w:rtl w:val="0"/>
        </w:rPr>
        <w:t xml:space="preserve">avec des dates associées (sous réserve de modification par Paris 2024) :</w:t>
      </w:r>
    </w:p>
    <w:tbl>
      <w:tblPr>
        <w:tblStyle w:val="Table13"/>
        <w:tblW w:w="9762.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411"/>
        <w:gridCol w:w="4392"/>
        <w:gridCol w:w="2959"/>
        <w:tblGridChange w:id="0">
          <w:tblGrid>
            <w:gridCol w:w="2411"/>
            <w:gridCol w:w="4392"/>
            <w:gridCol w:w="2959"/>
          </w:tblGrid>
        </w:tblGridChange>
      </w:tblGrid>
      <w:tr>
        <w:trPr>
          <w:cantSplit w:val="0"/>
          <w:trHeight w:val="335" w:hRule="atLeast"/>
          <w:tblHeader w:val="0"/>
        </w:trPr>
        <w:tc>
          <w:tcPr>
            <w:gridSpan w:val="2"/>
            <w:tcBorders>
              <w:top w:color="000000" w:space="0" w:sz="6" w:val="single"/>
              <w:left w:color="000000" w:space="0" w:sz="6" w:val="single"/>
              <w:bottom w:color="000000" w:space="0" w:sz="6" w:val="single"/>
              <w:right w:color="000000" w:space="0" w:sz="6" w:val="single"/>
            </w:tcBorders>
            <w:shd w:fill="006aff" w:val="clear"/>
          </w:tcPr>
          <w:p w:rsidR="00000000" w:rsidDel="00000000" w:rsidP="00000000" w:rsidRDefault="00000000" w:rsidRPr="00000000" w14:paraId="000003D1">
            <w:pPr>
              <w:spacing w:after="0" w:line="240" w:lineRule="auto"/>
              <w:jc w:val="center"/>
              <w:rPr>
                <w:b w:val="1"/>
                <w:color w:val="000000"/>
                <w:sz w:val="24"/>
                <w:szCs w:val="24"/>
              </w:rPr>
            </w:pPr>
            <w:r w:rsidDel="00000000" w:rsidR="00000000" w:rsidRPr="00000000">
              <w:rPr>
                <w:b w:val="1"/>
                <w:rtl w:val="0"/>
              </w:rPr>
              <w:t xml:space="preserve">Livrables</w:t>
            </w:r>
            <w:r w:rsidDel="00000000" w:rsidR="00000000" w:rsidRPr="00000000">
              <w:rPr>
                <w:rtl w:val="0"/>
              </w:rPr>
            </w:r>
          </w:p>
          <w:p w:rsidR="00000000" w:rsidDel="00000000" w:rsidP="00000000" w:rsidRDefault="00000000" w:rsidRPr="00000000" w14:paraId="000003D2">
            <w:pPr>
              <w:spacing w:after="0" w:line="240" w:lineRule="auto"/>
              <w:jc w:val="center"/>
              <w:rPr>
                <w:b w:val="1"/>
                <w:color w:val="00000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6aff" w:val="clear"/>
          </w:tcPr>
          <w:p w:rsidR="00000000" w:rsidDel="00000000" w:rsidP="00000000" w:rsidRDefault="00000000" w:rsidRPr="00000000" w14:paraId="000003D4">
            <w:pPr>
              <w:spacing w:after="0" w:line="240" w:lineRule="auto"/>
              <w:jc w:val="center"/>
              <w:rPr>
                <w:b w:val="1"/>
              </w:rPr>
            </w:pPr>
            <w:r w:rsidDel="00000000" w:rsidR="00000000" w:rsidRPr="00000000">
              <w:rPr>
                <w:rtl w:val="0"/>
              </w:rPr>
            </w:r>
          </w:p>
        </w:tc>
      </w:tr>
      <w:tr>
        <w:trPr>
          <w:cantSplit w:val="0"/>
          <w:trHeight w:val="335" w:hRule="atLeast"/>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3D5">
            <w:pPr>
              <w:spacing w:after="0" w:line="240" w:lineRule="auto"/>
              <w:rPr>
                <w:b w:val="1"/>
                <w:color w:val="000000"/>
                <w:sz w:val="24"/>
                <w:szCs w:val="24"/>
              </w:rPr>
            </w:pPr>
            <w:r w:rsidDel="00000000" w:rsidR="00000000" w:rsidRPr="00000000">
              <w:rPr>
                <w:b w:val="1"/>
                <w:color w:val="000000"/>
                <w:rtl w:val="0"/>
              </w:rPr>
              <w:t xml:space="preserve">Rétroplanning du projet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D6">
            <w:pPr>
              <w:spacing w:after="0" w:line="240" w:lineRule="auto"/>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7">
            <w:pPr>
              <w:spacing w:after="0" w:line="240" w:lineRule="auto"/>
              <w:rPr>
                <w:color w:val="000000"/>
              </w:rPr>
            </w:pPr>
            <w:r w:rsidDel="00000000" w:rsidR="00000000" w:rsidRPr="00000000">
              <w:rPr>
                <w:rtl w:val="0"/>
              </w:rPr>
            </w:r>
          </w:p>
        </w:tc>
      </w:tr>
      <w:tr>
        <w:trPr>
          <w:cantSplit w:val="0"/>
          <w:trHeight w:val="335" w:hRule="atLeast"/>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3D8">
            <w:pPr>
              <w:spacing w:after="0" w:line="240" w:lineRule="auto"/>
              <w:rPr>
                <w:b w:val="1"/>
                <w:color w:val="000000"/>
                <w:sz w:val="24"/>
                <w:szCs w:val="24"/>
              </w:rPr>
            </w:pPr>
            <w:r w:rsidDel="00000000" w:rsidR="00000000" w:rsidRPr="00000000">
              <w:rPr>
                <w:b w:val="1"/>
                <w:color w:val="000000"/>
                <w:rtl w:val="0"/>
              </w:rPr>
              <w:t xml:space="preserve">Personnel / recrutement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D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 de recrutement de l’équipe projet </w:t>
            </w:r>
            <w:r w:rsidDel="00000000" w:rsidR="00000000" w:rsidRPr="00000000">
              <w:rPr>
                <w:rtl w:val="0"/>
              </w:rPr>
            </w:r>
          </w:p>
          <w:p w:rsidR="00000000" w:rsidDel="00000000" w:rsidP="00000000" w:rsidRDefault="00000000" w:rsidRPr="00000000" w14:paraId="000003D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Stratégie de recrutement du personnel </w:t>
            </w:r>
            <w:r w:rsidDel="00000000" w:rsidR="00000000" w:rsidRPr="00000000">
              <w:rPr>
                <w:rtl w:val="0"/>
              </w:rPr>
            </w:r>
          </w:p>
          <w:p w:rsidR="00000000" w:rsidDel="00000000" w:rsidP="00000000" w:rsidRDefault="00000000" w:rsidRPr="00000000" w14:paraId="000003D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 de formation </w:t>
            </w:r>
            <w:r w:rsidDel="00000000" w:rsidR="00000000" w:rsidRPr="00000000">
              <w:rPr>
                <w:rtl w:val="0"/>
              </w:rPr>
            </w:r>
          </w:p>
          <w:p w:rsidR="00000000" w:rsidDel="00000000" w:rsidP="00000000" w:rsidRDefault="00000000" w:rsidRPr="00000000" w14:paraId="000003D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 d’activation du personnel par espace </w:t>
            </w:r>
            <w:r w:rsidDel="00000000" w:rsidR="00000000" w:rsidRPr="00000000">
              <w:rPr>
                <w:rtl w:val="0"/>
              </w:rPr>
            </w:r>
          </w:p>
          <w:p w:rsidR="00000000" w:rsidDel="00000000" w:rsidP="00000000" w:rsidRDefault="00000000" w:rsidRPr="00000000" w14:paraId="000003D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Stratégie des uniformes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initiale</w:t>
            </w:r>
          </w:p>
          <w:p w:rsidR="00000000" w:rsidDel="00000000" w:rsidP="00000000" w:rsidRDefault="00000000" w:rsidRPr="00000000" w14:paraId="000003D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initiale</w:t>
            </w:r>
          </w:p>
          <w:p w:rsidR="00000000" w:rsidDel="00000000" w:rsidP="00000000" w:rsidRDefault="00000000" w:rsidRPr="00000000" w14:paraId="000003E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T1 2024</w:t>
            </w:r>
          </w:p>
          <w:p w:rsidR="00000000" w:rsidDel="00000000" w:rsidP="00000000" w:rsidRDefault="00000000" w:rsidRPr="00000000" w14:paraId="000003E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intermédiaire</w:t>
            </w:r>
          </w:p>
          <w:p w:rsidR="00000000" w:rsidDel="00000000" w:rsidP="00000000" w:rsidRDefault="00000000" w:rsidRPr="00000000" w14:paraId="000003E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T1 2024</w:t>
            </w:r>
          </w:p>
        </w:tc>
      </w:tr>
      <w:tr>
        <w:trPr>
          <w:cantSplit w:val="0"/>
          <w:trHeight w:val="335" w:hRule="atLeast"/>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3E3">
            <w:pPr>
              <w:spacing w:after="0" w:line="240" w:lineRule="auto"/>
              <w:jc w:val="left"/>
              <w:rPr>
                <w:b w:val="1"/>
                <w:color w:val="000000"/>
                <w:sz w:val="24"/>
                <w:szCs w:val="24"/>
              </w:rPr>
            </w:pPr>
            <w:r w:rsidDel="00000000" w:rsidR="00000000" w:rsidRPr="00000000">
              <w:rPr>
                <w:b w:val="1"/>
                <w:color w:val="000000"/>
                <w:rtl w:val="0"/>
              </w:rPr>
              <w:t xml:space="preserve">Infrastructures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E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Stratégie de distribution </w:t>
            </w:r>
            <w:r w:rsidDel="00000000" w:rsidR="00000000" w:rsidRPr="00000000">
              <w:rPr>
                <w:rtl w:val="0"/>
              </w:rPr>
            </w:r>
          </w:p>
          <w:p w:rsidR="00000000" w:rsidDel="00000000" w:rsidP="00000000" w:rsidRDefault="00000000" w:rsidRPr="00000000" w14:paraId="000003E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Stratégie de mise en place des cuisines et des linéaires de service </w:t>
            </w:r>
            <w:r w:rsidDel="00000000" w:rsidR="00000000" w:rsidRPr="00000000">
              <w:rPr>
                <w:rtl w:val="0"/>
              </w:rPr>
            </w:r>
          </w:p>
          <w:p w:rsidR="00000000" w:rsidDel="00000000" w:rsidP="00000000" w:rsidRDefault="00000000" w:rsidRPr="00000000" w14:paraId="000003E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Plans détaillés des espaces</w:t>
            </w:r>
            <w:r w:rsidDel="00000000" w:rsidR="00000000" w:rsidRPr="00000000">
              <w:rPr>
                <w:rtl w:val="0"/>
              </w:rPr>
            </w:r>
          </w:p>
          <w:p w:rsidR="00000000" w:rsidDel="00000000" w:rsidP="00000000" w:rsidRDefault="00000000" w:rsidRPr="00000000" w14:paraId="000003E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Expression de besoins en fluides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initiale</w:t>
            </w:r>
          </w:p>
          <w:p w:rsidR="00000000" w:rsidDel="00000000" w:rsidP="00000000" w:rsidRDefault="00000000" w:rsidRPr="00000000" w14:paraId="000003E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initiale</w:t>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E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intermédiaire </w:t>
            </w:r>
          </w:p>
          <w:p w:rsidR="00000000" w:rsidDel="00000000" w:rsidP="00000000" w:rsidRDefault="00000000" w:rsidRPr="00000000" w14:paraId="000003E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T4 2023</w:t>
            </w:r>
          </w:p>
        </w:tc>
      </w:tr>
      <w:tr>
        <w:trPr>
          <w:cantSplit w:val="0"/>
          <w:trHeight w:val="335" w:hRule="atLeast"/>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3ED">
            <w:pPr>
              <w:spacing w:after="0" w:line="240" w:lineRule="auto"/>
              <w:rPr>
                <w:b w:val="1"/>
                <w:color w:val="000000"/>
                <w:sz w:val="24"/>
                <w:szCs w:val="24"/>
              </w:rPr>
            </w:pPr>
            <w:r w:rsidDel="00000000" w:rsidR="00000000" w:rsidRPr="00000000">
              <w:rPr>
                <w:b w:val="1"/>
                <w:color w:val="000000"/>
                <w:rtl w:val="0"/>
              </w:rPr>
              <w:t xml:space="preserve">Menus </w:t>
            </w:r>
            <w:r w:rsidDel="00000000" w:rsidR="00000000" w:rsidRPr="00000000">
              <w:rPr>
                <w:rtl w:val="0"/>
              </w:rPr>
            </w:r>
          </w:p>
          <w:p w:rsidR="00000000" w:rsidDel="00000000" w:rsidP="00000000" w:rsidRDefault="00000000" w:rsidRPr="00000000" w14:paraId="000003EE">
            <w:pPr>
              <w:spacing w:after="0" w:line="240" w:lineRule="auto"/>
              <w:rPr>
                <w:b w:val="1"/>
                <w:color w:val="000000"/>
                <w:sz w:val="24"/>
                <w:szCs w:val="24"/>
              </w:rPr>
            </w:pP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3EF">
            <w:pPr>
              <w:spacing w:after="0" w:line="240" w:lineRule="auto"/>
              <w:rPr>
                <w:b w:val="1"/>
                <w:color w:val="000000"/>
                <w:sz w:val="24"/>
                <w:szCs w:val="24"/>
              </w:rPr>
            </w:pPr>
            <w:r w:rsidDel="00000000" w:rsidR="00000000" w:rsidRPr="00000000">
              <w:rPr>
                <w:b w:val="1"/>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F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 de développement des menus </w:t>
            </w:r>
            <w:r w:rsidDel="00000000" w:rsidR="00000000" w:rsidRPr="00000000">
              <w:rPr>
                <w:rtl w:val="0"/>
              </w:rPr>
            </w:r>
          </w:p>
          <w:p w:rsidR="00000000" w:rsidDel="00000000" w:rsidP="00000000" w:rsidRDefault="00000000" w:rsidRPr="00000000" w14:paraId="000003F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 de communication et affichage </w:t>
            </w:r>
            <w:r w:rsidDel="00000000" w:rsidR="00000000" w:rsidRPr="00000000">
              <w:rPr>
                <w:rtl w:val="0"/>
              </w:rPr>
            </w:r>
          </w:p>
          <w:p w:rsidR="00000000" w:rsidDel="00000000" w:rsidP="00000000" w:rsidRDefault="00000000" w:rsidRPr="00000000" w14:paraId="000003F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Séances de test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F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T4 2023</w:t>
            </w:r>
          </w:p>
          <w:p w:rsidR="00000000" w:rsidDel="00000000" w:rsidP="00000000" w:rsidRDefault="00000000" w:rsidRPr="00000000" w14:paraId="000003F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T1 2024</w:t>
            </w:r>
          </w:p>
          <w:p w:rsidR="00000000" w:rsidDel="00000000" w:rsidP="00000000" w:rsidRDefault="00000000" w:rsidRPr="00000000" w14:paraId="000003F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Courant 2024</w:t>
            </w:r>
          </w:p>
        </w:tc>
      </w:tr>
      <w:tr>
        <w:trPr>
          <w:cantSplit w:val="0"/>
          <w:trHeight w:val="335" w:hRule="atLeast"/>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3F6">
            <w:pPr>
              <w:spacing w:after="0" w:line="240" w:lineRule="auto"/>
              <w:rPr>
                <w:b w:val="1"/>
                <w:color w:val="000000"/>
                <w:sz w:val="24"/>
                <w:szCs w:val="24"/>
              </w:rPr>
            </w:pPr>
            <w:r w:rsidDel="00000000" w:rsidR="00000000" w:rsidRPr="00000000">
              <w:rPr>
                <w:b w:val="1"/>
                <w:color w:val="000000"/>
                <w:rtl w:val="0"/>
              </w:rPr>
              <w:t xml:space="preserve">Catering management </w:t>
            </w:r>
            <w:r w:rsidDel="00000000" w:rsidR="00000000" w:rsidRPr="00000000">
              <w:rPr>
                <w:rtl w:val="0"/>
              </w:rPr>
            </w:r>
          </w:p>
          <w:p w:rsidR="00000000" w:rsidDel="00000000" w:rsidP="00000000" w:rsidRDefault="00000000" w:rsidRPr="00000000" w14:paraId="000003F7">
            <w:pPr>
              <w:spacing w:after="0" w:line="240" w:lineRule="auto"/>
              <w:rPr>
                <w:b w:val="1"/>
                <w:color w:val="000000"/>
                <w:sz w:val="24"/>
                <w:szCs w:val="24"/>
              </w:rPr>
            </w:pPr>
            <w:r w:rsidDel="00000000" w:rsidR="00000000" w:rsidRPr="00000000">
              <w:rPr>
                <w:b w:val="1"/>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F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 de production sur site et hors site </w:t>
            </w:r>
            <w:r w:rsidDel="00000000" w:rsidR="00000000" w:rsidRPr="00000000">
              <w:rPr>
                <w:rtl w:val="0"/>
              </w:rPr>
            </w:r>
          </w:p>
          <w:p w:rsidR="00000000" w:rsidDel="00000000" w:rsidP="00000000" w:rsidRDefault="00000000" w:rsidRPr="00000000" w14:paraId="000003F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Merchandising des linéaires de service </w:t>
            </w:r>
            <w:r w:rsidDel="00000000" w:rsidR="00000000" w:rsidRPr="00000000">
              <w:rPr>
                <w:rtl w:val="0"/>
              </w:rPr>
            </w:r>
          </w:p>
          <w:p w:rsidR="00000000" w:rsidDel="00000000" w:rsidP="00000000" w:rsidRDefault="00000000" w:rsidRPr="00000000" w14:paraId="000003F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Stratégie d’intégration de la Vision de la Restauration de Paris 2024 </w:t>
            </w:r>
            <w:r w:rsidDel="00000000" w:rsidR="00000000" w:rsidRPr="00000000">
              <w:rPr>
                <w:rtl w:val="0"/>
              </w:rPr>
            </w:r>
          </w:p>
          <w:p w:rsidR="00000000" w:rsidDel="00000000" w:rsidP="00000000" w:rsidRDefault="00000000" w:rsidRPr="00000000" w14:paraId="000003F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Planning du nettoyage des espaces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F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initiale</w:t>
            </w:r>
          </w:p>
          <w:p w:rsidR="00000000" w:rsidDel="00000000" w:rsidP="00000000" w:rsidRDefault="00000000" w:rsidRPr="00000000" w14:paraId="000003F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T3 2023</w:t>
            </w:r>
          </w:p>
          <w:p w:rsidR="00000000" w:rsidDel="00000000" w:rsidP="00000000" w:rsidRDefault="00000000" w:rsidRPr="00000000" w14:paraId="000003F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initiale</w:t>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0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T1 2024</w:t>
            </w:r>
          </w:p>
          <w:p w:rsidR="00000000" w:rsidDel="00000000" w:rsidP="00000000" w:rsidRDefault="00000000" w:rsidRPr="00000000" w14:paraId="00000401">
            <w:pPr>
              <w:spacing w:after="0" w:line="240" w:lineRule="auto"/>
              <w:jc w:val="right"/>
              <w:rPr>
                <w:color w:val="000000"/>
              </w:rPr>
            </w:pPr>
            <w:r w:rsidDel="00000000" w:rsidR="00000000" w:rsidRPr="00000000">
              <w:rPr>
                <w:rtl w:val="0"/>
              </w:rPr>
            </w:r>
          </w:p>
        </w:tc>
      </w:tr>
      <w:tr>
        <w:trPr>
          <w:cantSplit w:val="0"/>
          <w:trHeight w:val="335" w:hRule="atLeast"/>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02">
            <w:pPr>
              <w:spacing w:after="0" w:line="240" w:lineRule="auto"/>
              <w:rPr>
                <w:b w:val="1"/>
                <w:color w:val="000000"/>
                <w:sz w:val="24"/>
                <w:szCs w:val="24"/>
              </w:rPr>
            </w:pPr>
            <w:r w:rsidDel="00000000" w:rsidR="00000000" w:rsidRPr="00000000">
              <w:rPr>
                <w:b w:val="1"/>
                <w:color w:val="000000"/>
                <w:rtl w:val="0"/>
              </w:rPr>
              <w:t xml:space="preserve">Logistique </w:t>
            </w:r>
            <w:r w:rsidDel="00000000" w:rsidR="00000000" w:rsidRPr="00000000">
              <w:rPr>
                <w:rtl w:val="0"/>
              </w:rPr>
            </w:r>
          </w:p>
          <w:p w:rsidR="00000000" w:rsidDel="00000000" w:rsidP="00000000" w:rsidRDefault="00000000" w:rsidRPr="00000000" w14:paraId="00000403">
            <w:pPr>
              <w:spacing w:after="0" w:line="240" w:lineRule="auto"/>
              <w:rPr>
                <w:b w:val="1"/>
                <w:color w:val="000000"/>
                <w:sz w:val="24"/>
                <w:szCs w:val="24"/>
              </w:rPr>
            </w:pPr>
            <w:r w:rsidDel="00000000" w:rsidR="00000000" w:rsidRPr="00000000">
              <w:rPr>
                <w:b w:val="1"/>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40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Stratégie de sourcing et d’approvisionnement </w:t>
            </w:r>
            <w:r w:rsidDel="00000000" w:rsidR="00000000" w:rsidRPr="00000000">
              <w:rPr>
                <w:rtl w:val="0"/>
              </w:rPr>
            </w:r>
          </w:p>
          <w:p w:rsidR="00000000" w:rsidDel="00000000" w:rsidP="00000000" w:rsidRDefault="00000000" w:rsidRPr="00000000" w14:paraId="0000040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Stratégie du contrôle et suivi des stocks </w:t>
            </w:r>
            <w:r w:rsidDel="00000000" w:rsidR="00000000" w:rsidRPr="00000000">
              <w:rPr>
                <w:rtl w:val="0"/>
              </w:rPr>
            </w:r>
          </w:p>
          <w:p w:rsidR="00000000" w:rsidDel="00000000" w:rsidP="00000000" w:rsidRDefault="00000000" w:rsidRPr="00000000" w14:paraId="0000040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Planning des livraisons et reprises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0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initiale</w:t>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0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T2 2024</w:t>
            </w:r>
          </w:p>
          <w:p w:rsidR="00000000" w:rsidDel="00000000" w:rsidP="00000000" w:rsidRDefault="00000000" w:rsidRPr="00000000" w14:paraId="0000040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T1 2024</w:t>
            </w:r>
          </w:p>
        </w:tc>
      </w:tr>
      <w:tr>
        <w:trPr>
          <w:cantSplit w:val="0"/>
          <w:trHeight w:val="335" w:hRule="atLeast"/>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0B">
            <w:pPr>
              <w:spacing w:after="0" w:line="240" w:lineRule="auto"/>
              <w:rPr>
                <w:b w:val="1"/>
                <w:color w:val="000000"/>
                <w:sz w:val="24"/>
                <w:szCs w:val="24"/>
              </w:rPr>
            </w:pPr>
            <w:r w:rsidDel="00000000" w:rsidR="00000000" w:rsidRPr="00000000">
              <w:rPr>
                <w:b w:val="1"/>
                <w:color w:val="000000"/>
                <w:rtl w:val="0"/>
              </w:rPr>
              <w:t xml:space="preserve">Sécurité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40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Stratégie des contrôles de qualité </w:t>
            </w:r>
            <w:r w:rsidDel="00000000" w:rsidR="00000000" w:rsidRPr="00000000">
              <w:rPr>
                <w:rtl w:val="0"/>
              </w:rPr>
            </w:r>
          </w:p>
          <w:p w:rsidR="00000000" w:rsidDel="00000000" w:rsidP="00000000" w:rsidRDefault="00000000" w:rsidRPr="00000000" w14:paraId="0000040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Planning des prises d’échantillon </w:t>
            </w:r>
            <w:r w:rsidDel="00000000" w:rsidR="00000000" w:rsidRPr="00000000">
              <w:rPr>
                <w:rtl w:val="0"/>
              </w:rPr>
            </w:r>
          </w:p>
          <w:p w:rsidR="00000000" w:rsidDel="00000000" w:rsidP="00000000" w:rsidRDefault="00000000" w:rsidRPr="00000000" w14:paraId="0000040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Plan de management des risques </w:t>
            </w:r>
            <w:r w:rsidDel="00000000" w:rsidR="00000000" w:rsidRPr="00000000">
              <w:rPr>
                <w:rtl w:val="0"/>
              </w:rPr>
            </w:r>
          </w:p>
          <w:p w:rsidR="00000000" w:rsidDel="00000000" w:rsidP="00000000" w:rsidRDefault="00000000" w:rsidRPr="00000000" w14:paraId="0000040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Stratégie HACCP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1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intermédiaire</w:t>
            </w:r>
          </w:p>
          <w:p w:rsidR="00000000" w:rsidDel="00000000" w:rsidP="00000000" w:rsidRDefault="00000000" w:rsidRPr="00000000" w14:paraId="0000041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T1 2024</w:t>
            </w:r>
          </w:p>
          <w:p w:rsidR="00000000" w:rsidDel="00000000" w:rsidP="00000000" w:rsidRDefault="00000000" w:rsidRPr="00000000" w14:paraId="0000041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initiale </w:t>
            </w:r>
          </w:p>
          <w:p w:rsidR="00000000" w:rsidDel="00000000" w:rsidP="00000000" w:rsidRDefault="00000000" w:rsidRPr="00000000" w14:paraId="0000041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initiale</w:t>
            </w:r>
          </w:p>
        </w:tc>
      </w:tr>
      <w:tr>
        <w:trPr>
          <w:cantSplit w:val="0"/>
          <w:trHeight w:val="335" w:hRule="atLeast"/>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14">
            <w:pPr>
              <w:spacing w:after="0" w:line="240" w:lineRule="auto"/>
              <w:rPr>
                <w:b w:val="1"/>
                <w:color w:val="000000"/>
                <w:sz w:val="24"/>
                <w:szCs w:val="24"/>
              </w:rPr>
            </w:pPr>
            <w:r w:rsidDel="00000000" w:rsidR="00000000" w:rsidRPr="00000000">
              <w:rPr>
                <w:b w:val="1"/>
                <w:color w:val="000000"/>
                <w:rtl w:val="0"/>
              </w:rPr>
              <w:t xml:space="preserve">Développement durable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41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Stratégie RSE </w:t>
            </w:r>
            <w:r w:rsidDel="00000000" w:rsidR="00000000" w:rsidRPr="00000000">
              <w:rPr>
                <w:rtl w:val="0"/>
              </w:rPr>
            </w:r>
          </w:p>
          <w:p w:rsidR="00000000" w:rsidDel="00000000" w:rsidP="00000000" w:rsidRDefault="00000000" w:rsidRPr="00000000" w14:paraId="0000041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Stratégie du nettoyage et tri des déchets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1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initiale</w:t>
            </w:r>
          </w:p>
          <w:p w:rsidR="00000000" w:rsidDel="00000000" w:rsidP="00000000" w:rsidRDefault="00000000" w:rsidRPr="00000000" w14:paraId="0000041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initiale</w:t>
            </w:r>
          </w:p>
        </w:tc>
      </w:tr>
      <w:tr>
        <w:trPr>
          <w:cantSplit w:val="0"/>
          <w:trHeight w:val="335" w:hRule="atLeast"/>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19">
            <w:pPr>
              <w:spacing w:after="0" w:line="240" w:lineRule="auto"/>
              <w:rPr>
                <w:b w:val="1"/>
                <w:color w:val="000000"/>
                <w:sz w:val="24"/>
                <w:szCs w:val="24"/>
              </w:rPr>
            </w:pPr>
            <w:r w:rsidDel="00000000" w:rsidR="00000000" w:rsidRPr="00000000">
              <w:rPr>
                <w:b w:val="1"/>
                <w:color w:val="000000"/>
                <w:rtl w:val="0"/>
              </w:rPr>
              <w:t xml:space="preserve">Administration et suivi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41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Stratégie des reportings </w:t>
            </w:r>
            <w:r w:rsidDel="00000000" w:rsidR="00000000" w:rsidRPr="00000000">
              <w:rPr>
                <w:rtl w:val="0"/>
              </w:rPr>
            </w:r>
          </w:p>
          <w:p w:rsidR="00000000" w:rsidDel="00000000" w:rsidP="00000000" w:rsidRDefault="00000000" w:rsidRPr="00000000" w14:paraId="0000041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4"/>
                <w:szCs w:val="24"/>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Rapport global d’activité post Jeux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1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Offre intermédiaire </w:t>
            </w:r>
          </w:p>
          <w:p w:rsidR="00000000" w:rsidDel="00000000" w:rsidP="00000000" w:rsidRDefault="00000000" w:rsidRPr="00000000" w14:paraId="0000041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T3 2024</w:t>
            </w:r>
          </w:p>
        </w:tc>
      </w:tr>
    </w:tbl>
    <w:p w:rsidR="00000000" w:rsidDel="00000000" w:rsidP="00000000" w:rsidRDefault="00000000" w:rsidRPr="00000000" w14:paraId="0000041E">
      <w:pPr>
        <w:pStyle w:val="Heading2"/>
        <w:rPr/>
      </w:pPr>
      <w:bookmarkStart w:colFirst="0" w:colLast="0" w:name="_heading=h.3vac5uf" w:id="79"/>
      <w:bookmarkEnd w:id="79"/>
      <w:r w:rsidDel="00000000" w:rsidR="00000000" w:rsidRPr="00000000">
        <w:rPr>
          <w:rtl w:val="0"/>
        </w:rPr>
        <w:t xml:space="preserve">7.4 Le suivi de la fréquentation  </w:t>
      </w:r>
    </w:p>
    <w:p w:rsidR="00000000" w:rsidDel="00000000" w:rsidP="00000000" w:rsidRDefault="00000000" w:rsidRPr="00000000" w14:paraId="0000041F">
      <w:pPr>
        <w:rPr>
          <w:color w:val="000000"/>
        </w:rPr>
      </w:pPr>
      <w:r w:rsidDel="00000000" w:rsidR="00000000" w:rsidRPr="00000000">
        <w:rPr>
          <w:rtl w:val="0"/>
        </w:rPr>
        <w:t xml:space="preserve">Paris 2024 communiquera au Candidat retenu les évolutions en termes de fréquentation du site de manière régulière afin de permettre à ce dernier d’ajuster ses commandes et d’optimiser son planning d’exploitation. Le calendrier ci-après est donné à titre indicatif. Les dates de validation définitives sont stipulées dans le contrat liant Paris 2024 et le Candidat retenu.   </w:t>
      </w:r>
      <w:r w:rsidDel="00000000" w:rsidR="00000000" w:rsidRPr="00000000">
        <w:rPr>
          <w:rtl w:val="0"/>
        </w:rPr>
      </w:r>
    </w:p>
    <w:tbl>
      <w:tblPr>
        <w:tblStyle w:val="Table14"/>
        <w:tblW w:w="9724.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532"/>
        <w:gridCol w:w="5168"/>
        <w:gridCol w:w="1050"/>
        <w:gridCol w:w="974"/>
        <w:tblGridChange w:id="0">
          <w:tblGrid>
            <w:gridCol w:w="2532"/>
            <w:gridCol w:w="5168"/>
            <w:gridCol w:w="1050"/>
            <w:gridCol w:w="974"/>
          </w:tblGrid>
        </w:tblGridChange>
      </w:tblGrid>
      <w:tr>
        <w:trPr>
          <w:cantSplit w:val="0"/>
          <w:trHeight w:val="585" w:hRule="atLeast"/>
          <w:tblHeader w:val="0"/>
        </w:trPr>
        <w:tc>
          <w:tcPr>
            <w:tcBorders>
              <w:top w:color="000000" w:space="0" w:sz="6" w:val="single"/>
              <w:left w:color="000000" w:space="0" w:sz="6" w:val="single"/>
              <w:bottom w:color="000000" w:space="0" w:sz="6" w:val="single"/>
              <w:right w:color="000000" w:space="0" w:sz="6" w:val="single"/>
            </w:tcBorders>
            <w:shd w:fill="006aff" w:val="clear"/>
            <w:vAlign w:val="center"/>
          </w:tcPr>
          <w:p w:rsidR="00000000" w:rsidDel="00000000" w:rsidP="00000000" w:rsidRDefault="00000000" w:rsidRPr="00000000" w14:paraId="00000420">
            <w:pPr>
              <w:spacing w:after="0" w:line="240" w:lineRule="auto"/>
              <w:jc w:val="left"/>
              <w:rPr>
                <w:b w:val="1"/>
                <w:color w:val="000000"/>
                <w:sz w:val="24"/>
                <w:szCs w:val="24"/>
              </w:rPr>
            </w:pPr>
            <w:r w:rsidDel="00000000" w:rsidR="00000000" w:rsidRPr="00000000">
              <w:rPr>
                <w:b w:val="1"/>
                <w:color w:val="000000"/>
                <w:rtl w:val="0"/>
              </w:rPr>
              <w:t xml:space="preserve">Calendrier de reporting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6aff" w:val="clear"/>
            <w:vAlign w:val="center"/>
          </w:tcPr>
          <w:p w:rsidR="00000000" w:rsidDel="00000000" w:rsidP="00000000" w:rsidRDefault="00000000" w:rsidRPr="00000000" w14:paraId="00000421">
            <w:pPr>
              <w:spacing w:after="0" w:line="240" w:lineRule="auto"/>
              <w:jc w:val="center"/>
              <w:rPr>
                <w:b w:val="1"/>
                <w:color w:val="000000"/>
                <w:sz w:val="24"/>
                <w:szCs w:val="24"/>
              </w:rPr>
            </w:pPr>
            <w:r w:rsidDel="00000000" w:rsidR="00000000" w:rsidRPr="00000000">
              <w:rPr>
                <w:b w:val="1"/>
                <w:color w:val="000000"/>
                <w:rtl w:val="0"/>
              </w:rPr>
              <w:t xml:space="preserve">Action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6aff" w:val="clear"/>
            <w:vAlign w:val="center"/>
          </w:tcPr>
          <w:p w:rsidR="00000000" w:rsidDel="00000000" w:rsidP="00000000" w:rsidRDefault="00000000" w:rsidRPr="00000000" w14:paraId="00000422">
            <w:pPr>
              <w:spacing w:after="0" w:line="240" w:lineRule="auto"/>
              <w:jc w:val="center"/>
              <w:rPr>
                <w:b w:val="1"/>
                <w:color w:val="000000"/>
                <w:sz w:val="24"/>
                <w:szCs w:val="24"/>
              </w:rPr>
            </w:pPr>
            <w:r w:rsidDel="00000000" w:rsidR="00000000" w:rsidRPr="00000000">
              <w:rPr>
                <w:b w:val="1"/>
                <w:color w:val="000000"/>
                <w:rtl w:val="0"/>
              </w:rPr>
              <w:t xml:space="preserve">Candidat retenu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6aff" w:val="clear"/>
            <w:vAlign w:val="center"/>
          </w:tcPr>
          <w:p w:rsidR="00000000" w:rsidDel="00000000" w:rsidP="00000000" w:rsidRDefault="00000000" w:rsidRPr="00000000" w14:paraId="00000423">
            <w:pPr>
              <w:spacing w:after="0" w:line="240" w:lineRule="auto"/>
              <w:jc w:val="center"/>
              <w:rPr>
                <w:b w:val="1"/>
                <w:color w:val="000000"/>
                <w:sz w:val="24"/>
                <w:szCs w:val="24"/>
              </w:rPr>
            </w:pPr>
            <w:r w:rsidDel="00000000" w:rsidR="00000000" w:rsidRPr="00000000">
              <w:rPr>
                <w:b w:val="1"/>
                <w:color w:val="000000"/>
                <w:rtl w:val="0"/>
              </w:rPr>
              <w:t xml:space="preserve">Paris 2024 </w:t>
            </w:r>
            <w:r w:rsidDel="00000000" w:rsidR="00000000" w:rsidRPr="00000000">
              <w:rPr>
                <w:rtl w:val="0"/>
              </w:rPr>
            </w:r>
          </w:p>
        </w:tc>
      </w:tr>
      <w:tr>
        <w:trPr>
          <w:cantSplit w:val="0"/>
          <w:trHeight w:val="585" w:hRule="atLeast"/>
          <w:tblHeader w:val="0"/>
        </w:trPr>
        <w:tc>
          <w:tcPr>
            <w:tcBorders>
              <w:top w:color="000000" w:space="0" w:sz="6" w:val="single"/>
              <w:left w:color="000000" w:space="0" w:sz="6" w:val="single"/>
              <w:bottom w:color="000000" w:space="0" w:sz="6" w:val="single"/>
              <w:right w:color="000000" w:space="0" w:sz="6" w:val="single"/>
            </w:tcBorders>
            <w:shd w:fill="cce1ff" w:val="clear"/>
            <w:vAlign w:val="center"/>
          </w:tcPr>
          <w:p w:rsidR="00000000" w:rsidDel="00000000" w:rsidP="00000000" w:rsidRDefault="00000000" w:rsidRPr="00000000" w14:paraId="00000424">
            <w:pPr>
              <w:spacing w:after="0" w:line="240" w:lineRule="auto"/>
              <w:jc w:val="left"/>
              <w:rPr>
                <w:b w:val="1"/>
                <w:color w:val="000000"/>
                <w:sz w:val="24"/>
                <w:szCs w:val="24"/>
              </w:rPr>
            </w:pPr>
            <w:r w:rsidDel="00000000" w:rsidR="00000000" w:rsidRPr="00000000">
              <w:rPr>
                <w:color w:val="000000"/>
                <w:rtl w:val="0"/>
              </w:rPr>
              <w:t xml:space="preserve">J-12 mois à J-3 mois</w:t>
            </w:r>
            <w:r w:rsidDel="00000000" w:rsidR="00000000" w:rsidRPr="00000000">
              <w:rPr>
                <w:b w:val="1"/>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e1ff" w:val="clear"/>
            <w:vAlign w:val="center"/>
          </w:tcPr>
          <w:p w:rsidR="00000000" w:rsidDel="00000000" w:rsidP="00000000" w:rsidRDefault="00000000" w:rsidRPr="00000000" w14:paraId="00000425">
            <w:pPr>
              <w:spacing w:after="0" w:line="240" w:lineRule="auto"/>
              <w:rPr>
                <w:color w:val="000000"/>
                <w:sz w:val="24"/>
                <w:szCs w:val="24"/>
              </w:rPr>
            </w:pPr>
            <w:r w:rsidDel="00000000" w:rsidR="00000000" w:rsidRPr="00000000">
              <w:rPr>
                <w:color w:val="000000"/>
                <w:rtl w:val="0"/>
              </w:rPr>
              <w:t xml:space="preserve">Reporting régulier sur la fréquentation des populations (restauration due aux accrédités et restauration payante)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e1ff" w:val="clear"/>
            <w:vAlign w:val="center"/>
          </w:tcPr>
          <w:p w:rsidR="00000000" w:rsidDel="00000000" w:rsidP="00000000" w:rsidRDefault="00000000" w:rsidRPr="00000000" w14:paraId="00000426">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e1ff" w:val="clear"/>
            <w:vAlign w:val="center"/>
          </w:tcPr>
          <w:p w:rsidR="00000000" w:rsidDel="00000000" w:rsidP="00000000" w:rsidRDefault="00000000" w:rsidRPr="00000000" w14:paraId="00000427">
            <w:pPr>
              <w:spacing w:after="0" w:line="240" w:lineRule="auto"/>
              <w:jc w:val="center"/>
              <w:rPr>
                <w:color w:val="000000"/>
                <w:sz w:val="24"/>
                <w:szCs w:val="24"/>
              </w:rPr>
            </w:pPr>
            <w:r w:rsidDel="00000000" w:rsidR="00000000" w:rsidRPr="00000000">
              <w:rPr>
                <w:color w:val="000000"/>
                <w:rtl w:val="0"/>
              </w:rPr>
              <w:t xml:space="preserve">X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28">
            <w:pPr>
              <w:spacing w:after="0" w:line="240" w:lineRule="auto"/>
              <w:jc w:val="left"/>
              <w:rPr>
                <w:b w:val="1"/>
                <w:color w:val="000000"/>
                <w:sz w:val="24"/>
                <w:szCs w:val="24"/>
              </w:rPr>
            </w:pPr>
            <w:r w:rsidDel="00000000" w:rsidR="00000000" w:rsidRPr="00000000">
              <w:rPr>
                <w:color w:val="000000"/>
                <w:rtl w:val="0"/>
              </w:rPr>
              <w:t xml:space="preserve">J-3 mois au 11/09/2024  </w:t>
            </w:r>
            <w:r w:rsidDel="00000000" w:rsidR="00000000" w:rsidRPr="00000000">
              <w:rPr>
                <w:b w:val="1"/>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29">
            <w:pPr>
              <w:spacing w:after="0" w:line="240" w:lineRule="auto"/>
              <w:rPr>
                <w:color w:val="000000"/>
                <w:sz w:val="24"/>
                <w:szCs w:val="24"/>
              </w:rPr>
            </w:pPr>
            <w:r w:rsidDel="00000000" w:rsidR="00000000" w:rsidRPr="00000000">
              <w:rPr>
                <w:color w:val="000000"/>
                <w:rtl w:val="0"/>
              </w:rPr>
              <w:t xml:space="preserve">Reporting journalier de remplissage prévisionnel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2A">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2B">
            <w:pPr>
              <w:spacing w:after="0" w:line="240" w:lineRule="auto"/>
              <w:jc w:val="center"/>
              <w:rPr>
                <w:color w:val="000000"/>
                <w:sz w:val="24"/>
                <w:szCs w:val="24"/>
              </w:rPr>
            </w:pPr>
            <w:r w:rsidDel="00000000" w:rsidR="00000000" w:rsidRPr="00000000">
              <w:rPr>
                <w:color w:val="000000"/>
                <w:rtl w:val="0"/>
              </w:rPr>
              <w:t xml:space="preserve">X </w:t>
            </w:r>
            <w:r w:rsidDel="00000000" w:rsidR="00000000" w:rsidRPr="00000000">
              <w:rPr>
                <w:rtl w:val="0"/>
              </w:rPr>
            </w:r>
          </w:p>
        </w:tc>
      </w:tr>
      <w:tr>
        <w:trPr>
          <w:cantSplit w:val="0"/>
          <w:trHeight w:val="585" w:hRule="atLeast"/>
          <w:tblHeader w:val="0"/>
        </w:trPr>
        <w:tc>
          <w:tcPr>
            <w:tcBorders>
              <w:top w:color="000000" w:space="0" w:sz="6" w:val="single"/>
              <w:left w:color="000000" w:space="0" w:sz="6" w:val="single"/>
              <w:bottom w:color="000000" w:space="0" w:sz="6" w:val="single"/>
              <w:right w:color="000000" w:space="0" w:sz="6" w:val="single"/>
            </w:tcBorders>
            <w:shd w:fill="cce1ff" w:val="clear"/>
            <w:vAlign w:val="center"/>
          </w:tcPr>
          <w:p w:rsidR="00000000" w:rsidDel="00000000" w:rsidP="00000000" w:rsidRDefault="00000000" w:rsidRPr="00000000" w14:paraId="0000042C">
            <w:pPr>
              <w:spacing w:after="0" w:line="240" w:lineRule="auto"/>
              <w:jc w:val="left"/>
              <w:rPr>
                <w:b w:val="1"/>
                <w:color w:val="000000"/>
                <w:sz w:val="24"/>
                <w:szCs w:val="24"/>
              </w:rPr>
            </w:pPr>
            <w:r w:rsidDel="00000000" w:rsidR="00000000" w:rsidRPr="00000000">
              <w:rPr>
                <w:color w:val="000000"/>
                <w:rtl w:val="0"/>
              </w:rPr>
              <w:t xml:space="preserve">10/07 au 11/09/2024</w:t>
            </w:r>
            <w:r w:rsidDel="00000000" w:rsidR="00000000" w:rsidRPr="00000000">
              <w:rPr>
                <w:b w:val="1"/>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e1ff" w:val="clear"/>
            <w:vAlign w:val="center"/>
          </w:tcPr>
          <w:p w:rsidR="00000000" w:rsidDel="00000000" w:rsidP="00000000" w:rsidRDefault="00000000" w:rsidRPr="00000000" w14:paraId="0000042D">
            <w:pPr>
              <w:spacing w:after="0" w:line="240" w:lineRule="auto"/>
              <w:rPr>
                <w:color w:val="000000"/>
                <w:sz w:val="24"/>
                <w:szCs w:val="24"/>
              </w:rPr>
            </w:pPr>
            <w:r w:rsidDel="00000000" w:rsidR="00000000" w:rsidRPr="00000000">
              <w:rPr>
                <w:color w:val="000000"/>
                <w:rtl w:val="0"/>
              </w:rPr>
              <w:t xml:space="preserve">Reporting journalier des consommations dues aux accrédités et des ventes de la restauration payante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e1ff" w:val="clear"/>
            <w:vAlign w:val="center"/>
          </w:tcPr>
          <w:p w:rsidR="00000000" w:rsidDel="00000000" w:rsidP="00000000" w:rsidRDefault="00000000" w:rsidRPr="00000000" w14:paraId="0000042E">
            <w:pPr>
              <w:spacing w:after="0" w:line="240" w:lineRule="auto"/>
              <w:jc w:val="center"/>
              <w:rPr>
                <w:color w:val="000000"/>
                <w:sz w:val="24"/>
                <w:szCs w:val="24"/>
              </w:rPr>
            </w:pPr>
            <w:r w:rsidDel="00000000" w:rsidR="00000000" w:rsidRPr="00000000">
              <w:rPr>
                <w:color w:val="000000"/>
                <w:rtl w:val="0"/>
              </w:rPr>
              <w:t xml:space="preserve">X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e1ff" w:val="clear"/>
            <w:vAlign w:val="center"/>
          </w:tcPr>
          <w:p w:rsidR="00000000" w:rsidDel="00000000" w:rsidP="00000000" w:rsidRDefault="00000000" w:rsidRPr="00000000" w14:paraId="0000042F">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30">
            <w:pPr>
              <w:spacing w:after="0" w:line="240" w:lineRule="auto"/>
              <w:jc w:val="left"/>
              <w:rPr>
                <w:b w:val="1"/>
                <w:color w:val="000000"/>
                <w:sz w:val="24"/>
                <w:szCs w:val="24"/>
              </w:rPr>
            </w:pPr>
            <w:r w:rsidDel="00000000" w:rsidR="00000000" w:rsidRPr="00000000">
              <w:rPr>
                <w:color w:val="000000"/>
                <w:rtl w:val="0"/>
              </w:rPr>
              <w:t xml:space="preserve">Fermeture des sites de compétition +7 jours</w:t>
            </w:r>
            <w:r w:rsidDel="00000000" w:rsidR="00000000" w:rsidRPr="00000000">
              <w:rPr>
                <w:b w:val="1"/>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31">
            <w:pPr>
              <w:spacing w:after="0" w:line="240" w:lineRule="auto"/>
              <w:rPr>
                <w:color w:val="000000"/>
                <w:sz w:val="24"/>
                <w:szCs w:val="24"/>
              </w:rPr>
            </w:pPr>
            <w:r w:rsidDel="00000000" w:rsidR="00000000" w:rsidRPr="00000000">
              <w:rPr>
                <w:color w:val="000000"/>
                <w:rtl w:val="0"/>
              </w:rPr>
              <w:t xml:space="preserve">Reporting global et note de débriefing des opérations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32">
            <w:pPr>
              <w:spacing w:after="0" w:line="240" w:lineRule="auto"/>
              <w:jc w:val="center"/>
              <w:rPr>
                <w:color w:val="000000"/>
                <w:sz w:val="24"/>
                <w:szCs w:val="24"/>
              </w:rPr>
            </w:pPr>
            <w:r w:rsidDel="00000000" w:rsidR="00000000" w:rsidRPr="00000000">
              <w:rPr>
                <w:color w:val="000000"/>
                <w:rtl w:val="0"/>
              </w:rPr>
              <w:t xml:space="preserve">X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33">
            <w:pPr>
              <w:spacing w:after="0" w:line="240" w:lineRule="auto"/>
              <w:jc w:val="center"/>
              <w:rPr>
                <w:color w:val="000000"/>
                <w:sz w:val="24"/>
                <w:szCs w:val="24"/>
              </w:rPr>
            </w:pPr>
            <w:r w:rsidDel="00000000" w:rsidR="00000000" w:rsidRPr="00000000">
              <w:rPr>
                <w:color w:val="000000"/>
                <w:rtl w:val="0"/>
              </w:rPr>
              <w:t xml:space="preserve"> </w:t>
            </w:r>
            <w:r w:rsidDel="00000000" w:rsidR="00000000" w:rsidRPr="00000000">
              <w:rPr>
                <w:rtl w:val="0"/>
              </w:rPr>
            </w:r>
          </w:p>
        </w:tc>
      </w:tr>
    </w:tbl>
    <w:p w:rsidR="00000000" w:rsidDel="00000000" w:rsidP="00000000" w:rsidRDefault="00000000" w:rsidRPr="00000000" w14:paraId="00000434">
      <w:pPr>
        <w:spacing w:after="0" w:line="240" w:lineRule="auto"/>
        <w:jc w:val="left"/>
        <w:rPr>
          <w:rFonts w:ascii="Paris2024" w:cs="Paris2024" w:eastAsia="Paris2024" w:hAnsi="Paris2024"/>
          <w:b w:val="1"/>
          <w:smallCaps w:val="1"/>
          <w:color w:val="006aff"/>
          <w:sz w:val="28"/>
          <w:szCs w:val="28"/>
        </w:rPr>
      </w:pPr>
      <w:r w:rsidDel="00000000" w:rsidR="00000000" w:rsidRPr="00000000">
        <w:rPr>
          <w:rtl w:val="0"/>
        </w:rPr>
      </w:r>
    </w:p>
    <w:p w:rsidR="00000000" w:rsidDel="00000000" w:rsidP="00000000" w:rsidRDefault="00000000" w:rsidRPr="00000000" w14:paraId="00000435">
      <w:pPr>
        <w:spacing w:after="0" w:line="240" w:lineRule="auto"/>
        <w:jc w:val="left"/>
        <w:rPr>
          <w:rFonts w:ascii="Paris2024" w:cs="Paris2024" w:eastAsia="Paris2024" w:hAnsi="Paris2024"/>
          <w:b w:val="1"/>
          <w:smallCaps w:val="1"/>
          <w:color w:val="006af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436">
      <w:pPr>
        <w:pStyle w:val="Heading1"/>
        <w:spacing w:after="0" w:before="480" w:line="240" w:lineRule="auto"/>
        <w:jc w:val="left"/>
        <w:rPr>
          <w:rFonts w:ascii="Paris2024" w:cs="Paris2024" w:eastAsia="Paris2024" w:hAnsi="Paris2024"/>
        </w:rPr>
      </w:pPr>
      <w:bookmarkStart w:colFirst="0" w:colLast="0" w:name="_heading=h.2afmg28" w:id="80"/>
      <w:bookmarkEnd w:id="80"/>
      <w:r w:rsidDel="00000000" w:rsidR="00000000" w:rsidRPr="00000000">
        <w:rPr>
          <w:rFonts w:ascii="Paris2024" w:cs="Paris2024" w:eastAsia="Paris2024" w:hAnsi="Paris2024"/>
          <w:rtl w:val="0"/>
        </w:rPr>
        <w:t xml:space="preserve">8. ANNEXES</w:t>
      </w:r>
    </w:p>
    <w:p w:rsidR="00000000" w:rsidDel="00000000" w:rsidP="00000000" w:rsidRDefault="00000000" w:rsidRPr="00000000" w14:paraId="00000437">
      <w:pPr>
        <w:rPr/>
      </w:pPr>
      <w:r w:rsidDel="00000000" w:rsidR="00000000" w:rsidRPr="00000000">
        <w:rPr>
          <w:rtl w:val="0"/>
        </w:rPr>
      </w:r>
    </w:p>
    <w:p w:rsidR="00000000" w:rsidDel="00000000" w:rsidP="00000000" w:rsidRDefault="00000000" w:rsidRPr="00000000" w14:paraId="00000438">
      <w:pPr>
        <w:rPr>
          <w:b w:val="1"/>
          <w:color w:val="000000"/>
        </w:rPr>
      </w:pPr>
      <w:r w:rsidDel="00000000" w:rsidR="00000000" w:rsidRPr="00000000">
        <w:rPr>
          <w:b w:val="1"/>
          <w:rtl w:val="0"/>
        </w:rPr>
        <w:t xml:space="preserve">Annexes fournies en phase candidature &amp; Offres :</w:t>
      </w:r>
      <w:r w:rsidDel="00000000" w:rsidR="00000000" w:rsidRPr="00000000">
        <w:rPr>
          <w:rtl w:val="0"/>
        </w:rPr>
      </w:r>
    </w:p>
    <w:p w:rsidR="00000000" w:rsidDel="00000000" w:rsidP="00000000" w:rsidRDefault="00000000" w:rsidRPr="00000000" w14:paraId="00000439">
      <w:pPr>
        <w:rPr>
          <w:color w:val="000000"/>
        </w:rPr>
      </w:pPr>
      <w:r w:rsidDel="00000000" w:rsidR="00000000" w:rsidRPr="00000000">
        <w:rPr>
          <w:rtl w:val="0"/>
        </w:rPr>
        <w:t xml:space="preserve">Annexe A : « Planning prévisionnel de l’Appel d’Offres »</w:t>
      </w:r>
      <w:r w:rsidDel="00000000" w:rsidR="00000000" w:rsidRPr="00000000">
        <w:rPr>
          <w:rtl w:val="0"/>
        </w:rPr>
      </w:r>
    </w:p>
    <w:p w:rsidR="00000000" w:rsidDel="00000000" w:rsidP="00000000" w:rsidRDefault="00000000" w:rsidRPr="00000000" w14:paraId="0000043A">
      <w:pPr>
        <w:rPr>
          <w:color w:val="000000"/>
        </w:rPr>
      </w:pPr>
      <w:r w:rsidDel="00000000" w:rsidR="00000000" w:rsidRPr="00000000">
        <w:rPr>
          <w:rtl w:val="0"/>
        </w:rPr>
        <w:t xml:space="preserve">Annexe C « Ambition sociale et environnementale de Paris 2024 »</w:t>
      </w:r>
      <w:r w:rsidDel="00000000" w:rsidR="00000000" w:rsidRPr="00000000">
        <w:rPr>
          <w:rtl w:val="0"/>
        </w:rPr>
      </w:r>
    </w:p>
    <w:p w:rsidR="00000000" w:rsidDel="00000000" w:rsidP="00000000" w:rsidRDefault="00000000" w:rsidRPr="00000000" w14:paraId="0000043B">
      <w:pPr>
        <w:rPr/>
      </w:pPr>
      <w:r w:rsidDel="00000000" w:rsidR="00000000" w:rsidRPr="00000000">
        <w:rPr>
          <w:rtl w:val="0"/>
        </w:rPr>
        <w:t xml:space="preserve">Annexe D : « Vision pour la Restauration de Paris 2024 »</w:t>
      </w:r>
    </w:p>
    <w:p w:rsidR="00000000" w:rsidDel="00000000" w:rsidP="00000000" w:rsidRDefault="00000000" w:rsidRPr="00000000" w14:paraId="0000043C">
      <w:pPr>
        <w:rPr>
          <w:color w:val="000000"/>
        </w:rPr>
      </w:pPr>
      <w:r w:rsidDel="00000000" w:rsidR="00000000" w:rsidRPr="00000000">
        <w:rPr>
          <w:rtl w:val="0"/>
        </w:rPr>
        <w:t xml:space="preserve">Annexe E : « Guide des emballages et contenants alimentaires </w:t>
      </w:r>
      <w:r w:rsidDel="00000000" w:rsidR="00000000" w:rsidRPr="00000000">
        <w:rPr>
          <w:rtl w:val="0"/>
        </w:rPr>
      </w:r>
    </w:p>
    <w:p w:rsidR="00000000" w:rsidDel="00000000" w:rsidP="00000000" w:rsidRDefault="00000000" w:rsidRPr="00000000" w14:paraId="0000043D">
      <w:pPr>
        <w:rPr>
          <w:color w:val="000000"/>
        </w:rPr>
      </w:pPr>
      <w:r w:rsidDel="00000000" w:rsidR="00000000" w:rsidRPr="00000000">
        <w:rPr>
          <w:rtl w:val="0"/>
        </w:rPr>
        <w:t xml:space="preserve">Annexe F « Stratégie Responsable des Achats de Paris 2024 »</w:t>
      </w:r>
      <w:r w:rsidDel="00000000" w:rsidR="00000000" w:rsidRPr="00000000">
        <w:rPr>
          <w:rtl w:val="0"/>
        </w:rPr>
      </w:r>
    </w:p>
    <w:p w:rsidR="00000000" w:rsidDel="00000000" w:rsidP="00000000" w:rsidRDefault="00000000" w:rsidRPr="00000000" w14:paraId="0000043E">
      <w:pPr>
        <w:rPr/>
      </w:pPr>
      <w:r w:rsidDel="00000000" w:rsidR="00000000" w:rsidRPr="00000000">
        <w:rPr>
          <w:rtl w:val="0"/>
        </w:rPr>
        <w:t xml:space="preserve">Annexe G : « Catégories de produits et services des partenaires marketing de Paris 2024 » </w:t>
      </w:r>
    </w:p>
    <w:p w:rsidR="00000000" w:rsidDel="00000000" w:rsidP="00000000" w:rsidRDefault="00000000" w:rsidRPr="00000000" w14:paraId="0000043F">
      <w:pPr>
        <w:rPr>
          <w:color w:val="000000"/>
        </w:rPr>
      </w:pPr>
      <w:r w:rsidDel="00000000" w:rsidR="00000000" w:rsidRPr="00000000">
        <w:rPr>
          <w:rtl w:val="0"/>
        </w:rPr>
        <w:t xml:space="preserve">Annexe H : « Directives de Concessions F&amp;B – V1 »</w:t>
      </w:r>
      <w:r w:rsidDel="00000000" w:rsidR="00000000" w:rsidRPr="00000000">
        <w:rPr>
          <w:rtl w:val="0"/>
        </w:rPr>
      </w:r>
    </w:p>
    <w:p w:rsidR="00000000" w:rsidDel="00000000" w:rsidP="00000000" w:rsidRDefault="00000000" w:rsidRPr="00000000" w14:paraId="00000440">
      <w:pPr>
        <w:rPr/>
      </w:pPr>
      <w:r w:rsidDel="00000000" w:rsidR="00000000" w:rsidRPr="00000000">
        <w:rPr>
          <w:rtl w:val="0"/>
        </w:rPr>
        <w:t xml:space="preserve">Annexe I « Plan d’implantation des quais de Seine bas »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w:t>
      </w:r>
      <w:r w:rsidDel="00000000" w:rsidR="00000000" w:rsidRPr="00000000">
        <w:rPr>
          <w:b w:val="1"/>
          <w:rtl w:val="0"/>
        </w:rPr>
        <w:t xml:space="preserve">fournit uniquement aux candidats shortlistés</w:t>
      </w:r>
      <w:r w:rsidDel="00000000" w:rsidR="00000000" w:rsidRPr="00000000">
        <w:rPr>
          <w:rtl w:val="0"/>
        </w:rPr>
      </w:r>
    </w:p>
    <w:p w:rsidR="00000000" w:rsidDel="00000000" w:rsidP="00000000" w:rsidRDefault="00000000" w:rsidRPr="00000000" w14:paraId="00000441">
      <w:pPr>
        <w:rPr/>
      </w:pPr>
      <w:r w:rsidDel="00000000" w:rsidR="00000000" w:rsidRPr="00000000">
        <w:rPr>
          <w:rtl w:val="0"/>
        </w:rPr>
        <w:t xml:space="preserve">Annexe J : « Matrice de Responsabilité pour les Prestations Payantes » </w:t>
      </w:r>
    </w:p>
    <w:p w:rsidR="00000000" w:rsidDel="00000000" w:rsidP="00000000" w:rsidRDefault="00000000" w:rsidRPr="00000000" w14:paraId="00000442">
      <w:pPr>
        <w:rPr/>
      </w:pPr>
      <w:r w:rsidDel="00000000" w:rsidR="00000000" w:rsidRPr="00000000">
        <w:rPr>
          <w:rtl w:val="0"/>
        </w:rPr>
        <w:t xml:space="preserve">Annexe K : « Spécifications pour accessibilité »</w:t>
      </w:r>
    </w:p>
    <w:p w:rsidR="00000000" w:rsidDel="00000000" w:rsidP="00000000" w:rsidRDefault="00000000" w:rsidRPr="00000000" w14:paraId="00000443">
      <w:pPr>
        <w:rPr>
          <w:color w:val="000000"/>
          <w:highlight w:val="yellow"/>
        </w:rPr>
      </w:pPr>
      <w:r w:rsidDel="00000000" w:rsidR="00000000" w:rsidRPr="00000000">
        <w:rPr>
          <w:rtl w:val="0"/>
        </w:rPr>
        <w:t xml:space="preserve">Annexe L : « Arbre décisionnel emballages »</w:t>
      </w:r>
      <w:r w:rsidDel="00000000" w:rsidR="00000000" w:rsidRPr="00000000">
        <w:rPr>
          <w:rtl w:val="0"/>
        </w:rPr>
      </w:r>
    </w:p>
    <w:p w:rsidR="00000000" w:rsidDel="00000000" w:rsidP="00000000" w:rsidRDefault="00000000" w:rsidRPr="00000000" w14:paraId="00000444">
      <w:pPr>
        <w:rPr/>
      </w:pPr>
      <w:r w:rsidDel="00000000" w:rsidR="00000000" w:rsidRPr="00000000">
        <w:rPr>
          <w:rtl w:val="0"/>
        </w:rPr>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46">
      <w:pPr>
        <w:rPr>
          <w:rFonts w:ascii="Paris2024" w:cs="Paris2024" w:eastAsia="Paris2024" w:hAnsi="Paris2024"/>
        </w:rPr>
      </w:pPr>
      <w:r w:rsidDel="00000000" w:rsidR="00000000" w:rsidRPr="00000000">
        <w:rPr>
          <w:rtl w:val="0"/>
        </w:rPr>
      </w:r>
    </w:p>
    <w:p w:rsidR="00000000" w:rsidDel="00000000" w:rsidP="00000000" w:rsidRDefault="00000000" w:rsidRPr="00000000" w14:paraId="00000447">
      <w:pPr>
        <w:rPr>
          <w:rFonts w:ascii="Paris2024" w:cs="Paris2024" w:eastAsia="Paris2024" w:hAnsi="Paris2024"/>
        </w:rPr>
      </w:pPr>
      <w:r w:rsidDel="00000000" w:rsidR="00000000" w:rsidRPr="00000000">
        <w:rPr>
          <w:rtl w:val="0"/>
        </w:rPr>
      </w:r>
    </w:p>
    <w:p w:rsidR="00000000" w:rsidDel="00000000" w:rsidP="00000000" w:rsidRDefault="00000000" w:rsidRPr="00000000" w14:paraId="00000448">
      <w:pPr>
        <w:rPr>
          <w:rFonts w:ascii="Paris2024" w:cs="Paris2024" w:eastAsia="Paris2024" w:hAnsi="Paris2024"/>
        </w:rPr>
      </w:pPr>
      <w:r w:rsidDel="00000000" w:rsidR="00000000" w:rsidRPr="00000000">
        <w:rPr>
          <w:rtl w:val="0"/>
        </w:rPr>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720" w:right="0" w:firstLine="0"/>
        <w:jc w:val="center"/>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Pr>
      </w:pPr>
      <w:r w:rsidDel="00000000" w:rsidR="00000000" w:rsidRPr="00000000">
        <w:rPr>
          <w:rFonts w:ascii="Source Sans Pro Light" w:cs="Source Sans Pro Light" w:eastAsia="Source Sans Pro Light" w:hAnsi="Source Sans Pro Light"/>
          <w:b w:val="0"/>
          <w:i w:val="0"/>
          <w:smallCaps w:val="0"/>
          <w:strike w:val="0"/>
          <w:color w:val="000000"/>
          <w:sz w:val="21"/>
          <w:szCs w:val="21"/>
          <w:u w:val="none"/>
          <w:shd w:fill="auto" w:val="clear"/>
          <w:vertAlign w:val="baseline"/>
          <w:rtl w:val="0"/>
        </w:rPr>
        <w:t xml:space="preserve">***Fin du Document***</w:t>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center"/>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tl w:val="0"/>
        </w:rPr>
      </w:r>
    </w:p>
    <w:sectPr>
      <w:headerReference r:id="rId19" w:type="default"/>
      <w:headerReference r:id="rId20" w:type="first"/>
      <w:footerReference r:id="rId21" w:type="default"/>
      <w:footerReference r:id="rId22" w:type="first"/>
      <w:footerReference r:id="rId23" w:type="even"/>
      <w:pgSz w:h="16840" w:w="11900" w:orient="portrait"/>
      <w:pgMar w:bottom="1440" w:top="1440" w:left="1077" w:right="1077" w:header="1418" w:footer="284"/>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Courier New"/>
  <w:font w:name="Paris2024 Light"/>
  <w:font w:name="Source Sans Pro Light"/>
  <w:font w:name="Paris2024"/>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rial Black">
    <w:embedRegular w:fontKey="{00000000-0000-0000-0000-000000000000}" r:id="rId7" w:subsetted="0"/>
  </w:font>
  <w:font w:name="Paris2024 Extralight"/>
  <w:font w:name="Cambria Math">
    <w:embedRegular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5"/>
      <w:tblW w:w="1006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74"/>
      <w:gridCol w:w="3969"/>
      <w:gridCol w:w="617"/>
      <w:tblGridChange w:id="0">
        <w:tblGrid>
          <w:gridCol w:w="5474"/>
          <w:gridCol w:w="3969"/>
          <w:gridCol w:w="617"/>
        </w:tblGrid>
      </w:tblGridChange>
    </w:tblGrid>
    <w:tr>
      <w:trPr>
        <w:cantSplit w:val="0"/>
        <w:tblHeader w:val="0"/>
      </w:trPr>
      <w:tc>
        <w:tcPr/>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Pr>
          </w:pPr>
          <w:r w:rsidDel="00000000" w:rsidR="00000000" w:rsidRPr="00000000">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tl w:val="0"/>
            </w:rPr>
            <w:t xml:space="preserve">Comité d’organisation des Jeux Olympiques et Paralympiques de Paris 2024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-685799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Primary&quot;,&quot;Section&quot;:1,&quot;Top&quot;:0.0,&quot;Left&quot;:0.0}" id="1858500653" name=""/>
                    <a:graphic>
                      <a:graphicData uri="http://schemas.microsoft.com/office/word/2010/wordprocessingShape">
                        <wps:wsp>
                          <wps:cNvSpPr/>
                          <wps:cNvPr id="4" name="Shape 4"/>
                          <wps:spPr>
                            <a:xfrm>
                              <a:off x="1567750" y="3701578"/>
                              <a:ext cx="7556500" cy="156845"/>
                            </a:xfrm>
                            <a:prstGeom prst="rect">
                              <a:avLst/>
                            </a:prstGeom>
                            <a:noFill/>
                            <a:ln>
                              <a:noFill/>
                            </a:ln>
                          </wps:spPr>
                          <wps:txbx>
                            <w:txbxContent>
                              <w:p w:rsidR="00000000" w:rsidDel="00000000" w:rsidP="00000000" w:rsidRDefault="00000000" w:rsidRPr="00000000">
                                <w:pPr>
                                  <w:spacing w:after="0" w:before="0" w:line="288.0000114440918"/>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-685799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Primary&quot;,&quot;Section&quot;:1,&quot;Top&quot;:0.0,&quot;Left&quot;:0.0}" id="1858500653" name="image8.png"/>
                    <a:graphic>
                      <a:graphicData uri="http://schemas.openxmlformats.org/drawingml/2006/picture">
                        <pic:pic>
                          <pic:nvPicPr>
                            <pic:cNvPr descr="{&quot;HashCode&quot;:1773127019,&quot;Height&quot;:842.0,&quot;Width&quot;:595.0,&quot;Placement&quot;:&quot;Footer&quot;,&quot;Index&quot;:&quot;Primary&quot;,&quot;Section&quot;:1,&quot;Top&quot;:0.0,&quot;Left&quot;:0.0}" id="0" name="image8.png"/>
                            <pic:cNvPicPr preferRelativeResize="0"/>
                          </pic:nvPicPr>
                          <pic:blipFill>
                            <a:blip r:embed="rId1"/>
                            <a:srcRect/>
                            <a:stretch>
                              <a:fillRect/>
                            </a:stretch>
                          </pic:blipFill>
                          <pic:spPr>
                            <a:xfrm>
                              <a:off x="0" y="0"/>
                              <a:ext cx="7566025" cy="1663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-685799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Primary&quot;,&quot;Section&quot;:1,&quot;Top&quot;:0.0,&quot;Left&quot;:0.0}" id="1858500656" name=""/>
                    <a:graphic>
                      <a:graphicData uri="http://schemas.microsoft.com/office/word/2010/wordprocessingShape">
                        <wps:wsp>
                          <wps:cNvSpPr/>
                          <wps:cNvPr id="7" name="Shape 7"/>
                          <wps:spPr>
                            <a:xfrm>
                              <a:off x="1567750" y="3701578"/>
                              <a:ext cx="7556500" cy="156845"/>
                            </a:xfrm>
                            <a:prstGeom prst="rect">
                              <a:avLst/>
                            </a:prstGeom>
                            <a:noFill/>
                            <a:ln>
                              <a:noFill/>
                            </a:ln>
                          </wps:spPr>
                          <wps:txbx>
                            <w:txbxContent>
                              <w:p w:rsidR="00000000" w:rsidDel="00000000" w:rsidP="00000000" w:rsidRDefault="00000000" w:rsidRPr="00000000">
                                <w:pPr>
                                  <w:spacing w:after="0" w:before="0" w:line="288.0000114440918"/>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-685799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Primary&quot;,&quot;Section&quot;:1,&quot;Top&quot;:0.0,&quot;Left&quot;:0.0}" id="1858500656" name="image11.png"/>
                    <a:graphic>
                      <a:graphicData uri="http://schemas.openxmlformats.org/drawingml/2006/picture">
                        <pic:pic>
                          <pic:nvPicPr>
                            <pic:cNvPr descr="{&quot;HashCode&quot;:1773127019,&quot;Height&quot;:842.0,&quot;Width&quot;:595.0,&quot;Placement&quot;:&quot;Footer&quot;,&quot;Index&quot;:&quot;Primary&quot;,&quot;Section&quot;:1,&quot;Top&quot;:0.0,&quot;Left&quot;:0.0}" id="0" name="image11.png"/>
                            <pic:cNvPicPr preferRelativeResize="0"/>
                          </pic:nvPicPr>
                          <pic:blipFill>
                            <a:blip r:embed="rId2"/>
                            <a:srcRect/>
                            <a:stretch>
                              <a:fillRect/>
                            </a:stretch>
                          </pic:blipFill>
                          <pic:spPr>
                            <a:xfrm>
                              <a:off x="0" y="0"/>
                              <a:ext cx="7566025" cy="166370"/>
                            </a:xfrm>
                            <a:prstGeom prst="rect"/>
                            <a:ln/>
                          </pic:spPr>
                        </pic:pic>
                      </a:graphicData>
                    </a:graphic>
                  </wp:anchor>
                </w:drawing>
              </mc:Fallback>
            </mc:AlternateContent>
          </w:r>
        </w:p>
      </w:tc>
      <w:tc>
        <w:tcPr>
          <w:vAlign w:val="center"/>
        </w:tcPr>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750" w:firstLine="0"/>
            <w:jc w:val="center"/>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Pr>
          </w:pPr>
          <w:r w:rsidDel="00000000" w:rsidR="00000000" w:rsidRPr="00000000">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tl w:val="0"/>
            </w:rPr>
            <w:t xml:space="preserve">Cahier des Charges Restauration Cérémonie D’Ouverture – Quai Bas (CER/SEI) |   Date : 30/03/23</w:t>
          </w:r>
        </w:p>
      </w:tc>
      <w:tc>
        <w:tcPr>
          <w:vAlign w:val="center"/>
        </w:tcPr>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Pr>
          </w:pPr>
          <w:r w:rsidDel="00000000" w:rsidR="00000000" w:rsidRPr="00000000">
            <w:rPr>
              <w:rFonts w:ascii="Source Sans Pro Light" w:cs="Source Sans Pro Light" w:eastAsia="Source Sans Pro Light" w:hAnsi="Source Sans Pro Light"/>
              <w:b w:val="1"/>
              <w:i w:val="1"/>
              <w:smallCaps w:val="0"/>
              <w:strike w:val="0"/>
              <w:color w:val="2b579a"/>
              <w:sz w:val="13"/>
              <w:szCs w:val="13"/>
              <w:u w:val="none"/>
              <w:shd w:fill="e6e6e6" w:val="clear"/>
              <w:vertAlign w:val="baseline"/>
            </w:rPr>
            <w:fldChar w:fldCharType="begin"/>
            <w:instrText xml:space="preserve">PAGE</w:instrText>
            <w:fldChar w:fldCharType="separate"/>
            <w:fldChar w:fldCharType="end"/>
          </w:r>
          <w:r w:rsidDel="00000000" w:rsidR="00000000" w:rsidRPr="00000000">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tl w:val="0"/>
            </w:rPr>
            <w:t xml:space="preserve"> / </w:t>
          </w:r>
          <w:r w:rsidDel="00000000" w:rsidR="00000000" w:rsidRPr="00000000">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0"/>
        <w:trHeight w:val="283" w:hRule="atLeast"/>
        <w:tblHeader w:val="0"/>
      </w:trPr>
      <w:tc>
        <w:tcPr>
          <w:vAlign w:val="bottom"/>
        </w:tcPr>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Source Sans Pro Light" w:cs="Source Sans Pro Light" w:eastAsia="Source Sans Pro Light" w:hAnsi="Source Sans Pro Light"/>
              <w:b w:val="1"/>
              <w:i w:val="0"/>
              <w:smallCaps w:val="0"/>
              <w:strike w:val="0"/>
              <w:color w:val="006aff"/>
              <w:sz w:val="15"/>
              <w:szCs w:val="15"/>
              <w:u w:val="none"/>
              <w:shd w:fill="auto" w:val="clear"/>
              <w:vertAlign w:val="baseline"/>
            </w:rPr>
          </w:pPr>
          <w:r w:rsidDel="00000000" w:rsidR="00000000" w:rsidRPr="00000000">
            <w:rPr>
              <w:rFonts w:ascii="Source Sans Pro Light" w:cs="Source Sans Pro Light" w:eastAsia="Source Sans Pro Light" w:hAnsi="Source Sans Pro Light"/>
              <w:b w:val="1"/>
              <w:i w:val="0"/>
              <w:smallCaps w:val="0"/>
              <w:strike w:val="0"/>
              <w:color w:val="006aff"/>
              <w:sz w:val="15"/>
              <w:szCs w:val="15"/>
              <w:u w:val="none"/>
              <w:shd w:fill="auto" w:val="clear"/>
              <w:vertAlign w:val="baseline"/>
              <w:rtl w:val="0"/>
            </w:rPr>
            <w:t xml:space="preserve">NIVEAU DE CONFIDENTIALITÉ : RESTREINT</w:t>
          </w:r>
        </w:p>
      </w:tc>
      <w:tc>
        <w:tcPr>
          <w:vAlign w:val="center"/>
        </w:tcPr>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750" w:firstLine="0"/>
            <w:jc w:val="center"/>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Pr>
          </w:pPr>
          <w:r w:rsidDel="00000000" w:rsidR="00000000" w:rsidRPr="00000000">
            <w:rPr>
              <w:rtl w:val="0"/>
            </w:rPr>
          </w:r>
        </w:p>
      </w:tc>
    </w:tr>
  </w:tbl>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750" w:firstLine="0"/>
      <w:jc w:val="both"/>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1"/>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both"/>
      <w:rPr>
        <w:rFonts w:ascii="Arial" w:cs="Arial" w:eastAsia="Arial" w:hAnsi="Arial"/>
        <w:b w:val="1"/>
        <w:i w:val="1"/>
        <w:smallCaps w:val="0"/>
        <w:strike w:val="0"/>
        <w:color w:val="000000"/>
        <w:sz w:val="21"/>
        <w:szCs w:val="21"/>
        <w:u w:val="none"/>
        <w:shd w:fill="auto" w:val="clear"/>
        <w:vertAlign w:val="baseline"/>
      </w:rPr>
    </w:pPr>
    <w:r w:rsidDel="00000000" w:rsidR="00000000" w:rsidRPr="00000000">
      <w:rPr>
        <w:rFonts w:ascii="Arial" w:cs="Arial" w:eastAsia="Arial" w:hAnsi="Arial"/>
        <w:b w:val="1"/>
        <w:i w:val="1"/>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w:cs="Arial" w:eastAsia="Arial" w:hAnsi="Arial"/>
        <w:b w:val="1"/>
        <w:i w:val="1"/>
        <w:smallCaps w:val="0"/>
        <w:strike w:val="0"/>
        <w:color w:val="000000"/>
        <w:sz w:val="21"/>
        <w:szCs w:val="21"/>
        <w:u w:val="none"/>
        <w:shd w:fill="auto" w:val="clear"/>
        <w:vertAlign w:val="baseline"/>
      </w:rPr>
    </w:pPr>
    <w:r w:rsidDel="00000000" w:rsidR="00000000" w:rsidRPr="00000000">
      <w:rPr>
        <w:rFonts w:ascii="Arial" w:cs="Arial" w:eastAsia="Arial" w:hAnsi="Arial"/>
        <w:b w:val="1"/>
        <w:i w:val="1"/>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Pr>
    </w:pPr>
    <w:r w:rsidDel="00000000" w:rsidR="00000000" w:rsidRPr="00000000">
      <w:rPr>
        <w:rtl w:val="0"/>
      </w:rPr>
    </w:r>
  </w:p>
  <w:p w:rsidR="00000000" w:rsidDel="00000000" w:rsidP="00000000" w:rsidRDefault="00000000" w:rsidRPr="00000000" w14:paraId="0000045B">
    <w:pPr>
      <w:rPr/>
    </w:pPr>
    <w:r w:rsidDel="00000000" w:rsidR="00000000" w:rsidRPr="00000000">
      <w:rPr>
        <w:rtl w:val="0"/>
      </w:rPr>
    </w:r>
  </w:p>
  <w:p w:rsidR="00000000" w:rsidDel="00000000" w:rsidP="00000000" w:rsidRDefault="00000000" w:rsidRPr="00000000" w14:paraId="0000045C">
    <w:pPr>
      <w:rPr/>
    </w:pPr>
    <w:r w:rsidDel="00000000" w:rsidR="00000000" w:rsidRPr="00000000">
      <w:rPr>
        <w:rtl w:val="0"/>
      </w:rPr>
    </w:r>
  </w:p>
  <w:p w:rsidR="00000000" w:rsidDel="00000000" w:rsidP="00000000" w:rsidRDefault="00000000" w:rsidRPr="00000000" w14:paraId="0000045D">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Pr>
    </w:pPr>
    <w:r w:rsidDel="00000000" w:rsidR="00000000" w:rsidRPr="00000000">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tl w:val="0"/>
      </w:rPr>
      <w:t xml:space="preserve">Comité d’organisation des Jeux Olympiques et Paralympiques de Paris 2024 </w:t>
      <w:tab/>
      <w:tab/>
      <w:t xml:space="preserve">concession n°N_2202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-685799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FirstPage&quot;,&quot;Section&quot;:1,&quot;Top&quot;:0.0,&quot;Left&quot;:0.0}" id="1858500655" name=""/>
              <a:graphic>
                <a:graphicData uri="http://schemas.microsoft.com/office/word/2010/wordprocessingShape">
                  <wps:wsp>
                    <wps:cNvSpPr/>
                    <wps:cNvPr id="6" name="Shape 6"/>
                    <wps:spPr>
                      <a:xfrm>
                        <a:off x="1567750" y="3701578"/>
                        <a:ext cx="7556500" cy="156845"/>
                      </a:xfrm>
                      <a:prstGeom prst="rect">
                        <a:avLst/>
                      </a:prstGeom>
                      <a:noFill/>
                      <a:ln>
                        <a:noFill/>
                      </a:ln>
                    </wps:spPr>
                    <wps:txbx>
                      <w:txbxContent>
                        <w:p w:rsidR="00000000" w:rsidDel="00000000" w:rsidP="00000000" w:rsidRDefault="00000000" w:rsidRPr="00000000">
                          <w:pPr>
                            <w:spacing w:after="0" w:before="0" w:line="288.0000114440918"/>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-685799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FirstPage&quot;,&quot;Section&quot;:1,&quot;Top&quot;:0.0,&quot;Left&quot;:0.0}" id="1858500655" name="image10.png"/>
              <a:graphic>
                <a:graphicData uri="http://schemas.openxmlformats.org/drawingml/2006/picture">
                  <pic:pic>
                    <pic:nvPicPr>
                      <pic:cNvPr descr="{&quot;HashCode&quot;:1773127019,&quot;Height&quot;:842.0,&quot;Width&quot;:595.0,&quot;Placement&quot;:&quot;Footer&quot;,&quot;Index&quot;:&quot;FirstPage&quot;,&quot;Section&quot;:1,&quot;Top&quot;:0.0,&quot;Left&quot;:0.0}" id="0" name="image10.png"/>
                      <pic:cNvPicPr preferRelativeResize="0"/>
                    </pic:nvPicPr>
                    <pic:blipFill>
                      <a:blip r:embed="rId1"/>
                      <a:srcRect/>
                      <a:stretch>
                        <a:fillRect/>
                      </a:stretch>
                    </pic:blipFill>
                    <pic:spPr>
                      <a:xfrm>
                        <a:off x="0" y="0"/>
                        <a:ext cx="7566025" cy="1663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-685799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FirstPage&quot;,&quot;Section&quot;:1,&quot;Top&quot;:0.0,&quot;Left&quot;:0.0}" id="1858500657" name=""/>
              <a:graphic>
                <a:graphicData uri="http://schemas.microsoft.com/office/word/2010/wordprocessingShape">
                  <wps:wsp>
                    <wps:cNvSpPr/>
                    <wps:cNvPr id="8" name="Shape 8"/>
                    <wps:spPr>
                      <a:xfrm>
                        <a:off x="1567750" y="3701578"/>
                        <a:ext cx="7556500" cy="156845"/>
                      </a:xfrm>
                      <a:prstGeom prst="rect">
                        <a:avLst/>
                      </a:prstGeom>
                      <a:noFill/>
                      <a:ln>
                        <a:noFill/>
                      </a:ln>
                    </wps:spPr>
                    <wps:txbx>
                      <w:txbxContent>
                        <w:p w:rsidR="00000000" w:rsidDel="00000000" w:rsidP="00000000" w:rsidRDefault="00000000" w:rsidRPr="00000000">
                          <w:pPr>
                            <w:spacing w:after="0" w:before="0" w:line="288.0000114440918"/>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-685799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FirstPage&quot;,&quot;Section&quot;:1,&quot;Top&quot;:0.0,&quot;Left&quot;:0.0}" id="1858500657" name="image12.png"/>
              <a:graphic>
                <a:graphicData uri="http://schemas.openxmlformats.org/drawingml/2006/picture">
                  <pic:pic>
                    <pic:nvPicPr>
                      <pic:cNvPr descr="{&quot;HashCode&quot;:1773127019,&quot;Height&quot;:842.0,&quot;Width&quot;:595.0,&quot;Placement&quot;:&quot;Footer&quot;,&quot;Index&quot;:&quot;FirstPage&quot;,&quot;Section&quot;:1,&quot;Top&quot;:0.0,&quot;Left&quot;:0.0}" id="0" name="image12.png"/>
                      <pic:cNvPicPr preferRelativeResize="0"/>
                    </pic:nvPicPr>
                    <pic:blipFill>
                      <a:blip r:embed="rId2"/>
                      <a:srcRect/>
                      <a:stretch>
                        <a:fillRect/>
                      </a:stretch>
                    </pic:blipFill>
                    <pic:spPr>
                      <a:xfrm>
                        <a:off x="0" y="0"/>
                        <a:ext cx="7566025" cy="166370"/>
                      </a:xfrm>
                      <a:prstGeom prst="rect"/>
                      <a:ln/>
                    </pic:spPr>
                  </pic:pic>
                </a:graphicData>
              </a:graphic>
            </wp:anchor>
          </w:drawing>
        </mc:Fallback>
      </mc:AlternateConten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Pr>
    </w:pPr>
    <w:r w:rsidDel="00000000" w:rsidR="00000000" w:rsidRPr="00000000">
      <w:rPr>
        <w:rtl w:val="0"/>
      </w:rPr>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Source Sans Pro Light" w:cs="Source Sans Pro Light" w:eastAsia="Source Sans Pro Light" w:hAnsi="Source Sans Pro Light"/>
        <w:b w:val="1"/>
        <w:i w:val="1"/>
        <w:smallCaps w:val="0"/>
        <w:strike w:val="0"/>
        <w:color w:val="808080"/>
        <w:sz w:val="13"/>
        <w:szCs w:val="13"/>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4B">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4241800</wp:posOffset>
              </wp:positionH>
              <wp:positionV relativeFrom="paragraph">
                <wp:posOffset>-139699</wp:posOffset>
              </wp:positionV>
              <wp:extent cx="2000885" cy="335280"/>
              <wp:effectExtent b="0" l="0" r="0" t="0"/>
              <wp:wrapNone/>
              <wp:docPr id="1858500651" name=""/>
              <a:graphic>
                <a:graphicData uri="http://schemas.microsoft.com/office/word/2010/wordprocessingShape">
                  <wps:wsp>
                    <wps:cNvSpPr/>
                    <wps:cNvPr id="2" name="Shape 2"/>
                    <wps:spPr>
                      <a:xfrm>
                        <a:off x="4350320" y="3617123"/>
                        <a:ext cx="1991360" cy="325755"/>
                      </a:xfrm>
                      <a:prstGeom prst="rect">
                        <a:avLst/>
                      </a:prstGeom>
                      <a:solidFill>
                        <a:schemeClr val="lt1"/>
                      </a:solidFill>
                      <a:ln>
                        <a:noFill/>
                      </a:ln>
                    </wps:spPr>
                    <wps:txbx>
                      <w:txbxContent>
                        <w:p w:rsidR="00000000" w:rsidDel="00000000" w:rsidP="00000000" w:rsidRDefault="00000000" w:rsidRPr="00000000">
                          <w:pPr>
                            <w:spacing w:after="120" w:before="0" w:line="360"/>
                            <w:ind w:left="0" w:right="0" w:firstLine="0"/>
                            <w:jc w:val="right"/>
                            <w:textDirection w:val="btLr"/>
                          </w:pPr>
                          <w:r w:rsidDel="00000000" w:rsidR="00000000" w:rsidRPr="00000000">
                            <w:rPr>
                              <w:rFonts w:ascii="Arial" w:cs="Arial" w:eastAsia="Arial" w:hAnsi="Arial"/>
                              <w:b w:val="1"/>
                              <w:i w:val="1"/>
                              <w:smallCaps w:val="1"/>
                              <w:strike w:val="0"/>
                              <w:color w:val="000000"/>
                              <w:sz w:val="16"/>
                              <w:vertAlign w:val="baseline"/>
                            </w:rPr>
                            <w:t xml:space="preserve">CAHIER DES CHARGES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4241800</wp:posOffset>
              </wp:positionH>
              <wp:positionV relativeFrom="paragraph">
                <wp:posOffset>-139699</wp:posOffset>
              </wp:positionV>
              <wp:extent cx="2000885" cy="335280"/>
              <wp:effectExtent b="0" l="0" r="0" t="0"/>
              <wp:wrapNone/>
              <wp:docPr id="185850065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000885" cy="33528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4C">
    <w:pPr>
      <w:rPr/>
    </w:pPr>
    <w:r w:rsidDel="00000000" w:rsidR="00000000" w:rsidRPr="00000000">
      <w:rPr>
        <w:color w:val="2b579a"/>
        <w:shd w:fill="e6e6e6" w:val="clear"/>
      </w:rPr>
      <w:drawing>
        <wp:anchor allowOverlap="1" behindDoc="0" distB="0" distT="0" distL="114300" distR="114300" hidden="0" layoutInCell="1" locked="0" relativeHeight="0" simplePos="0">
          <wp:simplePos x="0" y="0"/>
          <wp:positionH relativeFrom="margin">
            <wp:posOffset>0</wp:posOffset>
          </wp:positionH>
          <wp:positionV relativeFrom="margin">
            <wp:posOffset>-1349374</wp:posOffset>
          </wp:positionV>
          <wp:extent cx="1853565" cy="1040765"/>
          <wp:effectExtent b="0" l="0" r="0" t="0"/>
          <wp:wrapSquare wrapText="bothSides" distB="0" distT="0" distL="114300" distR="114300"/>
          <wp:docPr id="1858500658" name="image13.png"/>
          <a:graphic>
            <a:graphicData uri="http://schemas.openxmlformats.org/drawingml/2006/picture">
              <pic:pic>
                <pic:nvPicPr>
                  <pic:cNvPr id="0" name="image13.png"/>
                  <pic:cNvPicPr preferRelativeResize="0"/>
                </pic:nvPicPr>
                <pic:blipFill>
                  <a:blip r:embed="rId1"/>
                  <a:srcRect b="0" l="0" r="0" t="0"/>
                  <a:stretch>
                    <a:fillRect/>
                  </a:stretch>
                </pic:blipFill>
                <pic:spPr>
                  <a:xfrm>
                    <a:off x="0" y="0"/>
                    <a:ext cx="1853565" cy="1040765"/>
                  </a:xfrm>
                  <a:prstGeom prst="rect"/>
                  <a:ln/>
                </pic:spPr>
              </pic:pic>
            </a:graphicData>
          </a:graphic>
        </wp:anchor>
      </w:drawing>
    </w:r>
    <w:r w:rsidDel="00000000" w:rsidR="00000000" w:rsidRPr="00000000">
      <w:rPr>
        <w:rtl w:val="0"/>
      </w:rPr>
    </w:r>
  </w:p>
  <w:p w:rsidR="00000000" w:rsidDel="00000000" w:rsidP="00000000" w:rsidRDefault="00000000" w:rsidRPr="00000000" w14:paraId="0000044D">
    <w:pPr>
      <w:rPr/>
    </w:pPr>
    <w:r w:rsidDel="00000000" w:rsidR="00000000" w:rsidRPr="00000000">
      <w:rPr>
        <w:rtl w:val="0"/>
      </w:rPr>
    </w:r>
  </w:p>
  <w:p w:rsidR="00000000" w:rsidDel="00000000" w:rsidP="00000000" w:rsidRDefault="00000000" w:rsidRPr="00000000" w14:paraId="0000044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134" w:hanging="567"/>
      </w:pPr>
      <w:rPr>
        <w:rFonts w:ascii="Noto Sans Symbols" w:cs="Noto Sans Symbols" w:eastAsia="Noto Sans Symbols" w:hAnsi="Noto Sans Symbols"/>
        <w:b w:val="0"/>
        <w:i w:val="0"/>
        <w:color w:val="04617b"/>
        <w:sz w:val="18"/>
        <w:szCs w:val="18"/>
      </w:rPr>
    </w:lvl>
    <w:lvl w:ilvl="1">
      <w:start w:val="1"/>
      <w:numFmt w:val="bullet"/>
      <w:lvlText w:val="o"/>
      <w:lvlJc w:val="left"/>
      <w:pPr>
        <w:ind w:left="1134" w:firstLine="0"/>
      </w:pPr>
      <w:rPr>
        <w:rFonts w:ascii="Courier New" w:cs="Courier New" w:eastAsia="Courier New" w:hAnsi="Courier New"/>
        <w:b w:val="0"/>
        <w:i w:val="0"/>
        <w:color w:val="04617b"/>
        <w:sz w:val="20"/>
        <w:szCs w:val="20"/>
      </w:rPr>
    </w:lvl>
    <w:lvl w:ilvl="2">
      <w:start w:val="1"/>
      <w:numFmt w:val="bullet"/>
      <w:lvlText w:val="▪"/>
      <w:lvlJc w:val="left"/>
      <w:pPr>
        <w:ind w:left="2268" w:hanging="566.9999999999998"/>
      </w:pPr>
      <w:rPr>
        <w:rFonts w:ascii="Noto Sans Symbols" w:cs="Noto Sans Symbols" w:eastAsia="Noto Sans Symbols" w:hAnsi="Noto Sans Symbols"/>
        <w:color w:val="04617b"/>
      </w:rPr>
    </w:lvl>
    <w:lvl w:ilvl="3">
      <w:start w:val="1"/>
      <w:numFmt w:val="bullet"/>
      <w:lvlText w:val="●"/>
      <w:lvlJc w:val="left"/>
      <w:pPr>
        <w:ind w:left="2835" w:hanging="567"/>
      </w:pPr>
      <w:rPr>
        <w:rFonts w:ascii="Noto Sans Symbols" w:cs="Noto Sans Symbols" w:eastAsia="Noto Sans Symbols" w:hAnsi="Noto Sans Symbols"/>
      </w:rPr>
    </w:lvl>
    <w:lvl w:ilvl="4">
      <w:start w:val="1"/>
      <w:numFmt w:val="bullet"/>
      <w:lvlText w:val="o"/>
      <w:lvlJc w:val="left"/>
      <w:pPr>
        <w:ind w:left="3402" w:hanging="567"/>
      </w:pPr>
      <w:rPr>
        <w:rFonts w:ascii="Courier New" w:cs="Courier New" w:eastAsia="Courier New" w:hAnsi="Courier New"/>
      </w:rPr>
    </w:lvl>
    <w:lvl w:ilvl="5">
      <w:start w:val="1"/>
      <w:numFmt w:val="bullet"/>
      <w:lvlText w:val="▪"/>
      <w:lvlJc w:val="left"/>
      <w:pPr>
        <w:ind w:left="3969" w:hanging="567"/>
      </w:pPr>
      <w:rPr>
        <w:rFonts w:ascii="Noto Sans Symbols" w:cs="Noto Sans Symbols" w:eastAsia="Noto Sans Symbols" w:hAnsi="Noto Sans Symbols"/>
      </w:rPr>
    </w:lvl>
    <w:lvl w:ilvl="6">
      <w:start w:val="1"/>
      <w:numFmt w:val="bullet"/>
      <w:lvlText w:val="●"/>
      <w:lvlJc w:val="left"/>
      <w:pPr>
        <w:ind w:left="4536" w:hanging="566.9999999999995"/>
      </w:pPr>
      <w:rPr>
        <w:rFonts w:ascii="Noto Sans Symbols" w:cs="Noto Sans Symbols" w:eastAsia="Noto Sans Symbols" w:hAnsi="Noto Sans Symbols"/>
      </w:rPr>
    </w:lvl>
    <w:lvl w:ilvl="7">
      <w:start w:val="1"/>
      <w:numFmt w:val="bullet"/>
      <w:lvlText w:val="o"/>
      <w:lvlJc w:val="left"/>
      <w:pPr>
        <w:ind w:left="5103" w:hanging="567"/>
      </w:pPr>
      <w:rPr>
        <w:rFonts w:ascii="Courier New" w:cs="Courier New" w:eastAsia="Courier New" w:hAnsi="Courier New"/>
      </w:rPr>
    </w:lvl>
    <w:lvl w:ilvl="8">
      <w:start w:val="1"/>
      <w:numFmt w:val="bullet"/>
      <w:lvlText w:val="▪"/>
      <w:lvlJc w:val="left"/>
      <w:pPr>
        <w:ind w:left="5670" w:hanging="567"/>
      </w:pPr>
      <w:rPr>
        <w:rFonts w:ascii="Noto Sans Symbols" w:cs="Noto Sans Symbols" w:eastAsia="Noto Sans Symbols" w:hAnsi="Noto Sans Symbols"/>
      </w:rPr>
    </w:lvl>
  </w:abstractNum>
  <w:abstractNum w:abstractNumId="2">
    <w:lvl w:ilvl="0">
      <w:start w:val="1"/>
      <w:numFmt w:val="bullet"/>
      <w:lvlText w:val="▪"/>
      <w:lvlJc w:val="left"/>
      <w:pPr>
        <w:ind w:left="1134" w:hanging="567"/>
      </w:pPr>
      <w:rPr>
        <w:rFonts w:ascii="Noto Sans Symbols" w:cs="Noto Sans Symbols" w:eastAsia="Noto Sans Symbols" w:hAnsi="Noto Sans Symbols"/>
        <w:b w:val="0"/>
        <w:i w:val="0"/>
        <w:color w:val="04617b"/>
        <w:sz w:val="18"/>
        <w:szCs w:val="18"/>
      </w:rPr>
    </w:lvl>
    <w:lvl w:ilvl="1">
      <w:start w:val="1"/>
      <w:numFmt w:val="bullet"/>
      <w:lvlText w:val="o"/>
      <w:lvlJc w:val="left"/>
      <w:pPr>
        <w:ind w:left="1134" w:firstLine="0"/>
      </w:pPr>
      <w:rPr>
        <w:rFonts w:ascii="Courier New" w:cs="Courier New" w:eastAsia="Courier New" w:hAnsi="Courier New"/>
        <w:b w:val="0"/>
        <w:i w:val="0"/>
        <w:color w:val="04617b"/>
        <w:sz w:val="20"/>
        <w:szCs w:val="20"/>
      </w:rPr>
    </w:lvl>
    <w:lvl w:ilvl="2">
      <w:start w:val="1"/>
      <w:numFmt w:val="bullet"/>
      <w:lvlText w:val="▪"/>
      <w:lvlJc w:val="left"/>
      <w:pPr>
        <w:ind w:left="2268" w:hanging="566.9999999999998"/>
      </w:pPr>
      <w:rPr>
        <w:rFonts w:ascii="Noto Sans Symbols" w:cs="Noto Sans Symbols" w:eastAsia="Noto Sans Symbols" w:hAnsi="Noto Sans Symbols"/>
        <w:color w:val="04617b"/>
      </w:rPr>
    </w:lvl>
    <w:lvl w:ilvl="3">
      <w:start w:val="1"/>
      <w:numFmt w:val="bullet"/>
      <w:lvlText w:val="●"/>
      <w:lvlJc w:val="left"/>
      <w:pPr>
        <w:ind w:left="2835" w:hanging="567"/>
      </w:pPr>
      <w:rPr>
        <w:rFonts w:ascii="Noto Sans Symbols" w:cs="Noto Sans Symbols" w:eastAsia="Noto Sans Symbols" w:hAnsi="Noto Sans Symbols"/>
      </w:rPr>
    </w:lvl>
    <w:lvl w:ilvl="4">
      <w:start w:val="1"/>
      <w:numFmt w:val="bullet"/>
      <w:lvlText w:val="o"/>
      <w:lvlJc w:val="left"/>
      <w:pPr>
        <w:ind w:left="3402" w:hanging="567"/>
      </w:pPr>
      <w:rPr>
        <w:rFonts w:ascii="Courier New" w:cs="Courier New" w:eastAsia="Courier New" w:hAnsi="Courier New"/>
      </w:rPr>
    </w:lvl>
    <w:lvl w:ilvl="5">
      <w:start w:val="1"/>
      <w:numFmt w:val="bullet"/>
      <w:lvlText w:val="▪"/>
      <w:lvlJc w:val="left"/>
      <w:pPr>
        <w:ind w:left="3969" w:hanging="567"/>
      </w:pPr>
      <w:rPr>
        <w:rFonts w:ascii="Noto Sans Symbols" w:cs="Noto Sans Symbols" w:eastAsia="Noto Sans Symbols" w:hAnsi="Noto Sans Symbols"/>
      </w:rPr>
    </w:lvl>
    <w:lvl w:ilvl="6">
      <w:start w:val="1"/>
      <w:numFmt w:val="bullet"/>
      <w:lvlText w:val="●"/>
      <w:lvlJc w:val="left"/>
      <w:pPr>
        <w:ind w:left="4536" w:hanging="566.9999999999995"/>
      </w:pPr>
      <w:rPr>
        <w:rFonts w:ascii="Noto Sans Symbols" w:cs="Noto Sans Symbols" w:eastAsia="Noto Sans Symbols" w:hAnsi="Noto Sans Symbols"/>
      </w:rPr>
    </w:lvl>
    <w:lvl w:ilvl="7">
      <w:start w:val="1"/>
      <w:numFmt w:val="bullet"/>
      <w:lvlText w:val="o"/>
      <w:lvlJc w:val="left"/>
      <w:pPr>
        <w:ind w:left="5103" w:hanging="567"/>
      </w:pPr>
      <w:rPr>
        <w:rFonts w:ascii="Courier New" w:cs="Courier New" w:eastAsia="Courier New" w:hAnsi="Courier New"/>
      </w:rPr>
    </w:lvl>
    <w:lvl w:ilvl="8">
      <w:start w:val="1"/>
      <w:numFmt w:val="bullet"/>
      <w:lvlText w:val="▪"/>
      <w:lvlJc w:val="left"/>
      <w:pPr>
        <w:ind w:left="5670" w:hanging="567"/>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1134" w:hanging="567"/>
      </w:pPr>
      <w:rPr>
        <w:b w:val="0"/>
        <w:i w:val="0"/>
        <w:color w:val="04617b"/>
        <w:sz w:val="18"/>
        <w:szCs w:val="18"/>
      </w:rPr>
    </w:lvl>
    <w:lvl w:ilvl="1">
      <w:start w:val="1"/>
      <w:numFmt w:val="bullet"/>
      <w:lvlText w:val="▪"/>
      <w:lvlJc w:val="left"/>
      <w:pPr>
        <w:ind w:left="1134" w:firstLine="0"/>
      </w:pPr>
      <w:rPr>
        <w:rFonts w:ascii="Noto Sans Symbols" w:cs="Noto Sans Symbols" w:eastAsia="Noto Sans Symbols" w:hAnsi="Noto Sans Symbols"/>
        <w:b w:val="0"/>
        <w:i w:val="0"/>
        <w:color w:val="04617b"/>
        <w:sz w:val="20"/>
        <w:szCs w:val="20"/>
      </w:rPr>
    </w:lvl>
    <w:lvl w:ilvl="2">
      <w:start w:val="1"/>
      <w:numFmt w:val="bullet"/>
      <w:lvlText w:val="▪"/>
      <w:lvlJc w:val="left"/>
      <w:pPr>
        <w:ind w:left="2268" w:hanging="566.9999999999998"/>
      </w:pPr>
      <w:rPr>
        <w:rFonts w:ascii="Noto Sans Symbols" w:cs="Noto Sans Symbols" w:eastAsia="Noto Sans Symbols" w:hAnsi="Noto Sans Symbols"/>
        <w:color w:val="04617b"/>
      </w:rPr>
    </w:lvl>
    <w:lvl w:ilvl="3">
      <w:start w:val="1"/>
      <w:numFmt w:val="bullet"/>
      <w:lvlText w:val="●"/>
      <w:lvlJc w:val="left"/>
      <w:pPr>
        <w:ind w:left="2835" w:hanging="567"/>
      </w:pPr>
      <w:rPr>
        <w:rFonts w:ascii="Noto Sans Symbols" w:cs="Noto Sans Symbols" w:eastAsia="Noto Sans Symbols" w:hAnsi="Noto Sans Symbols"/>
      </w:rPr>
    </w:lvl>
    <w:lvl w:ilvl="4">
      <w:start w:val="1"/>
      <w:numFmt w:val="bullet"/>
      <w:lvlText w:val="o"/>
      <w:lvlJc w:val="left"/>
      <w:pPr>
        <w:ind w:left="3402" w:hanging="567"/>
      </w:pPr>
      <w:rPr>
        <w:rFonts w:ascii="Courier New" w:cs="Courier New" w:eastAsia="Courier New" w:hAnsi="Courier New"/>
      </w:rPr>
    </w:lvl>
    <w:lvl w:ilvl="5">
      <w:start w:val="1"/>
      <w:numFmt w:val="bullet"/>
      <w:lvlText w:val="▪"/>
      <w:lvlJc w:val="left"/>
      <w:pPr>
        <w:ind w:left="3969" w:hanging="567"/>
      </w:pPr>
      <w:rPr>
        <w:rFonts w:ascii="Noto Sans Symbols" w:cs="Noto Sans Symbols" w:eastAsia="Noto Sans Symbols" w:hAnsi="Noto Sans Symbols"/>
      </w:rPr>
    </w:lvl>
    <w:lvl w:ilvl="6">
      <w:start w:val="1"/>
      <w:numFmt w:val="bullet"/>
      <w:lvlText w:val="●"/>
      <w:lvlJc w:val="left"/>
      <w:pPr>
        <w:ind w:left="4536" w:hanging="566.9999999999995"/>
      </w:pPr>
      <w:rPr>
        <w:rFonts w:ascii="Noto Sans Symbols" w:cs="Noto Sans Symbols" w:eastAsia="Noto Sans Symbols" w:hAnsi="Noto Sans Symbols"/>
      </w:rPr>
    </w:lvl>
    <w:lvl w:ilvl="7">
      <w:start w:val="1"/>
      <w:numFmt w:val="bullet"/>
      <w:lvlText w:val="o"/>
      <w:lvlJc w:val="left"/>
      <w:pPr>
        <w:ind w:left="5103" w:hanging="567"/>
      </w:pPr>
      <w:rPr>
        <w:rFonts w:ascii="Courier New" w:cs="Courier New" w:eastAsia="Courier New" w:hAnsi="Courier New"/>
      </w:rPr>
    </w:lvl>
    <w:lvl w:ilvl="8">
      <w:start w:val="1"/>
      <w:numFmt w:val="bullet"/>
      <w:lvlText w:val="▪"/>
      <w:lvlJc w:val="left"/>
      <w:pPr>
        <w:ind w:left="5670" w:hanging="567"/>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2"/>
      <w:numFmt w:val="bullet"/>
      <w:lvlText w:val="-"/>
      <w:lvlJc w:val="left"/>
      <w:pPr>
        <w:ind w:left="720" w:hanging="360"/>
      </w:pPr>
      <w:rPr>
        <w:rFonts w:ascii="Source Sans Pro Light" w:cs="Source Sans Pro Light" w:eastAsia="Source Sans Pro Light" w:hAnsi="Source Sans Pro Light"/>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1134" w:hanging="567"/>
      </w:pPr>
      <w:rPr>
        <w:b w:val="0"/>
        <w:i w:val="0"/>
        <w:color w:val="04617b"/>
        <w:sz w:val="18"/>
        <w:szCs w:val="18"/>
      </w:rPr>
    </w:lvl>
    <w:lvl w:ilvl="1">
      <w:start w:val="1"/>
      <w:numFmt w:val="bullet"/>
      <w:lvlText w:val="▪"/>
      <w:lvlJc w:val="left"/>
      <w:pPr>
        <w:ind w:left="1134" w:firstLine="0"/>
      </w:pPr>
      <w:rPr>
        <w:rFonts w:ascii="Noto Sans Symbols" w:cs="Noto Sans Symbols" w:eastAsia="Noto Sans Symbols" w:hAnsi="Noto Sans Symbols"/>
        <w:b w:val="0"/>
        <w:i w:val="0"/>
        <w:color w:val="04617b"/>
        <w:sz w:val="20"/>
        <w:szCs w:val="20"/>
      </w:rPr>
    </w:lvl>
    <w:lvl w:ilvl="2">
      <w:start w:val="1"/>
      <w:numFmt w:val="bullet"/>
      <w:lvlText w:val="▪"/>
      <w:lvlJc w:val="left"/>
      <w:pPr>
        <w:ind w:left="2268" w:hanging="566.9999999999998"/>
      </w:pPr>
      <w:rPr>
        <w:rFonts w:ascii="Noto Sans Symbols" w:cs="Noto Sans Symbols" w:eastAsia="Noto Sans Symbols" w:hAnsi="Noto Sans Symbols"/>
        <w:color w:val="04617b"/>
      </w:rPr>
    </w:lvl>
    <w:lvl w:ilvl="3">
      <w:start w:val="1"/>
      <w:numFmt w:val="bullet"/>
      <w:lvlText w:val="●"/>
      <w:lvlJc w:val="left"/>
      <w:pPr>
        <w:ind w:left="2835" w:hanging="567"/>
      </w:pPr>
      <w:rPr>
        <w:rFonts w:ascii="Noto Sans Symbols" w:cs="Noto Sans Symbols" w:eastAsia="Noto Sans Symbols" w:hAnsi="Noto Sans Symbols"/>
      </w:rPr>
    </w:lvl>
    <w:lvl w:ilvl="4">
      <w:start w:val="1"/>
      <w:numFmt w:val="bullet"/>
      <w:lvlText w:val="o"/>
      <w:lvlJc w:val="left"/>
      <w:pPr>
        <w:ind w:left="3402" w:hanging="567"/>
      </w:pPr>
      <w:rPr>
        <w:rFonts w:ascii="Courier New" w:cs="Courier New" w:eastAsia="Courier New" w:hAnsi="Courier New"/>
      </w:rPr>
    </w:lvl>
    <w:lvl w:ilvl="5">
      <w:start w:val="1"/>
      <w:numFmt w:val="bullet"/>
      <w:lvlText w:val="▪"/>
      <w:lvlJc w:val="left"/>
      <w:pPr>
        <w:ind w:left="3969" w:hanging="567"/>
      </w:pPr>
      <w:rPr>
        <w:rFonts w:ascii="Noto Sans Symbols" w:cs="Noto Sans Symbols" w:eastAsia="Noto Sans Symbols" w:hAnsi="Noto Sans Symbols"/>
      </w:rPr>
    </w:lvl>
    <w:lvl w:ilvl="6">
      <w:start w:val="1"/>
      <w:numFmt w:val="bullet"/>
      <w:lvlText w:val="●"/>
      <w:lvlJc w:val="left"/>
      <w:pPr>
        <w:ind w:left="4536" w:hanging="566.9999999999995"/>
      </w:pPr>
      <w:rPr>
        <w:rFonts w:ascii="Noto Sans Symbols" w:cs="Noto Sans Symbols" w:eastAsia="Noto Sans Symbols" w:hAnsi="Noto Sans Symbols"/>
      </w:rPr>
    </w:lvl>
    <w:lvl w:ilvl="7">
      <w:start w:val="1"/>
      <w:numFmt w:val="bullet"/>
      <w:lvlText w:val="o"/>
      <w:lvlJc w:val="left"/>
      <w:pPr>
        <w:ind w:left="5103" w:hanging="567"/>
      </w:pPr>
      <w:rPr>
        <w:rFonts w:ascii="Courier New" w:cs="Courier New" w:eastAsia="Courier New" w:hAnsi="Courier New"/>
      </w:rPr>
    </w:lvl>
    <w:lvl w:ilvl="8">
      <w:start w:val="1"/>
      <w:numFmt w:val="bullet"/>
      <w:lvlText w:val="▪"/>
      <w:lvlJc w:val="left"/>
      <w:pPr>
        <w:ind w:left="5670" w:hanging="567"/>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1134" w:hanging="567"/>
      </w:pPr>
      <w:rPr>
        <w:b w:val="0"/>
        <w:i w:val="0"/>
        <w:color w:val="04617b"/>
        <w:sz w:val="18"/>
        <w:szCs w:val="18"/>
      </w:rPr>
    </w:lvl>
    <w:lvl w:ilvl="1">
      <w:start w:val="1"/>
      <w:numFmt w:val="bullet"/>
      <w:lvlText w:val="▪"/>
      <w:lvlJc w:val="left"/>
      <w:pPr>
        <w:ind w:left="1134" w:firstLine="0"/>
      </w:pPr>
      <w:rPr>
        <w:rFonts w:ascii="Noto Sans Symbols" w:cs="Noto Sans Symbols" w:eastAsia="Noto Sans Symbols" w:hAnsi="Noto Sans Symbols"/>
        <w:b w:val="0"/>
        <w:i w:val="0"/>
        <w:color w:val="04617b"/>
        <w:sz w:val="20"/>
        <w:szCs w:val="20"/>
      </w:rPr>
    </w:lvl>
    <w:lvl w:ilvl="2">
      <w:start w:val="1"/>
      <w:numFmt w:val="bullet"/>
      <w:lvlText w:val="▪"/>
      <w:lvlJc w:val="left"/>
      <w:pPr>
        <w:ind w:left="2268" w:hanging="566.9999999999998"/>
      </w:pPr>
      <w:rPr>
        <w:rFonts w:ascii="Noto Sans Symbols" w:cs="Noto Sans Symbols" w:eastAsia="Noto Sans Symbols" w:hAnsi="Noto Sans Symbols"/>
        <w:color w:val="04617b"/>
      </w:rPr>
    </w:lvl>
    <w:lvl w:ilvl="3">
      <w:start w:val="1"/>
      <w:numFmt w:val="bullet"/>
      <w:lvlText w:val="●"/>
      <w:lvlJc w:val="left"/>
      <w:pPr>
        <w:ind w:left="2835" w:hanging="567"/>
      </w:pPr>
      <w:rPr>
        <w:rFonts w:ascii="Noto Sans Symbols" w:cs="Noto Sans Symbols" w:eastAsia="Noto Sans Symbols" w:hAnsi="Noto Sans Symbols"/>
      </w:rPr>
    </w:lvl>
    <w:lvl w:ilvl="4">
      <w:start w:val="1"/>
      <w:numFmt w:val="bullet"/>
      <w:lvlText w:val="o"/>
      <w:lvlJc w:val="left"/>
      <w:pPr>
        <w:ind w:left="3402" w:hanging="567"/>
      </w:pPr>
      <w:rPr>
        <w:rFonts w:ascii="Courier New" w:cs="Courier New" w:eastAsia="Courier New" w:hAnsi="Courier New"/>
      </w:rPr>
    </w:lvl>
    <w:lvl w:ilvl="5">
      <w:start w:val="1"/>
      <w:numFmt w:val="bullet"/>
      <w:lvlText w:val="▪"/>
      <w:lvlJc w:val="left"/>
      <w:pPr>
        <w:ind w:left="3969" w:hanging="567"/>
      </w:pPr>
      <w:rPr>
        <w:rFonts w:ascii="Noto Sans Symbols" w:cs="Noto Sans Symbols" w:eastAsia="Noto Sans Symbols" w:hAnsi="Noto Sans Symbols"/>
      </w:rPr>
    </w:lvl>
    <w:lvl w:ilvl="6">
      <w:start w:val="1"/>
      <w:numFmt w:val="bullet"/>
      <w:lvlText w:val="●"/>
      <w:lvlJc w:val="left"/>
      <w:pPr>
        <w:ind w:left="4536" w:hanging="566.9999999999995"/>
      </w:pPr>
      <w:rPr>
        <w:rFonts w:ascii="Noto Sans Symbols" w:cs="Noto Sans Symbols" w:eastAsia="Noto Sans Symbols" w:hAnsi="Noto Sans Symbols"/>
      </w:rPr>
    </w:lvl>
    <w:lvl w:ilvl="7">
      <w:start w:val="1"/>
      <w:numFmt w:val="bullet"/>
      <w:lvlText w:val="o"/>
      <w:lvlJc w:val="left"/>
      <w:pPr>
        <w:ind w:left="5103" w:hanging="567"/>
      </w:pPr>
      <w:rPr>
        <w:rFonts w:ascii="Courier New" w:cs="Courier New" w:eastAsia="Courier New" w:hAnsi="Courier New"/>
      </w:rPr>
    </w:lvl>
    <w:lvl w:ilvl="8">
      <w:start w:val="1"/>
      <w:numFmt w:val="bullet"/>
      <w:lvlText w:val="▪"/>
      <w:lvlJc w:val="left"/>
      <w:pPr>
        <w:ind w:left="5670" w:hanging="567"/>
      </w:pPr>
      <w:rPr>
        <w:rFonts w:ascii="Noto Sans Symbols" w:cs="Noto Sans Symbols" w:eastAsia="Noto Sans Symbols" w:hAnsi="Noto Sans Symbols"/>
      </w:rPr>
    </w:lvl>
  </w:abstractNum>
  <w:abstractNum w:abstractNumId="12">
    <w:lvl w:ilvl="0">
      <w:start w:val="1"/>
      <w:numFmt w:val="bullet"/>
      <w:lvlText w:val="●"/>
      <w:lvlJc w:val="left"/>
      <w:pPr>
        <w:ind w:left="763" w:hanging="360"/>
      </w:pPr>
      <w:rPr>
        <w:rFonts w:ascii="Noto Sans Symbols" w:cs="Noto Sans Symbols" w:eastAsia="Noto Sans Symbols" w:hAnsi="Noto Sans Symbols"/>
      </w:rPr>
    </w:lvl>
    <w:lvl w:ilvl="1">
      <w:start w:val="1"/>
      <w:numFmt w:val="bullet"/>
      <w:lvlText w:val="o"/>
      <w:lvlJc w:val="left"/>
      <w:pPr>
        <w:ind w:left="1483" w:hanging="360"/>
      </w:pPr>
      <w:rPr>
        <w:rFonts w:ascii="Courier New" w:cs="Courier New" w:eastAsia="Courier New" w:hAnsi="Courier New"/>
      </w:rPr>
    </w:lvl>
    <w:lvl w:ilvl="2">
      <w:start w:val="1"/>
      <w:numFmt w:val="bullet"/>
      <w:lvlText w:val="▪"/>
      <w:lvlJc w:val="left"/>
      <w:pPr>
        <w:ind w:left="2203" w:hanging="360"/>
      </w:pPr>
      <w:rPr>
        <w:rFonts w:ascii="Noto Sans Symbols" w:cs="Noto Sans Symbols" w:eastAsia="Noto Sans Symbols" w:hAnsi="Noto Sans Symbols"/>
      </w:rPr>
    </w:lvl>
    <w:lvl w:ilvl="3">
      <w:start w:val="1"/>
      <w:numFmt w:val="bullet"/>
      <w:lvlText w:val="●"/>
      <w:lvlJc w:val="left"/>
      <w:pPr>
        <w:ind w:left="2923" w:hanging="360"/>
      </w:pPr>
      <w:rPr>
        <w:rFonts w:ascii="Noto Sans Symbols" w:cs="Noto Sans Symbols" w:eastAsia="Noto Sans Symbols" w:hAnsi="Noto Sans Symbols"/>
      </w:rPr>
    </w:lvl>
    <w:lvl w:ilvl="4">
      <w:start w:val="1"/>
      <w:numFmt w:val="bullet"/>
      <w:lvlText w:val="o"/>
      <w:lvlJc w:val="left"/>
      <w:pPr>
        <w:ind w:left="3643" w:hanging="360"/>
      </w:pPr>
      <w:rPr>
        <w:rFonts w:ascii="Courier New" w:cs="Courier New" w:eastAsia="Courier New" w:hAnsi="Courier New"/>
      </w:rPr>
    </w:lvl>
    <w:lvl w:ilvl="5">
      <w:start w:val="1"/>
      <w:numFmt w:val="bullet"/>
      <w:lvlText w:val="▪"/>
      <w:lvlJc w:val="left"/>
      <w:pPr>
        <w:ind w:left="4363" w:hanging="360"/>
      </w:pPr>
      <w:rPr>
        <w:rFonts w:ascii="Noto Sans Symbols" w:cs="Noto Sans Symbols" w:eastAsia="Noto Sans Symbols" w:hAnsi="Noto Sans Symbols"/>
      </w:rPr>
    </w:lvl>
    <w:lvl w:ilvl="6">
      <w:start w:val="1"/>
      <w:numFmt w:val="bullet"/>
      <w:lvlText w:val="●"/>
      <w:lvlJc w:val="left"/>
      <w:pPr>
        <w:ind w:left="5083" w:hanging="360"/>
      </w:pPr>
      <w:rPr>
        <w:rFonts w:ascii="Noto Sans Symbols" w:cs="Noto Sans Symbols" w:eastAsia="Noto Sans Symbols" w:hAnsi="Noto Sans Symbols"/>
      </w:rPr>
    </w:lvl>
    <w:lvl w:ilvl="7">
      <w:start w:val="1"/>
      <w:numFmt w:val="bullet"/>
      <w:lvlText w:val="o"/>
      <w:lvlJc w:val="left"/>
      <w:pPr>
        <w:ind w:left="5803" w:hanging="360"/>
      </w:pPr>
      <w:rPr>
        <w:rFonts w:ascii="Courier New" w:cs="Courier New" w:eastAsia="Courier New" w:hAnsi="Courier New"/>
      </w:rPr>
    </w:lvl>
    <w:lvl w:ilvl="8">
      <w:start w:val="1"/>
      <w:numFmt w:val="bullet"/>
      <w:lvlText w:val="▪"/>
      <w:lvlJc w:val="left"/>
      <w:pPr>
        <w:ind w:left="6523" w:hanging="360"/>
      </w:pPr>
      <w:rPr>
        <w:rFonts w:ascii="Noto Sans Symbols" w:cs="Noto Sans Symbols" w:eastAsia="Noto Sans Symbols" w:hAnsi="Noto Sans Symbols"/>
      </w:rPr>
    </w:lvl>
  </w:abstractNum>
  <w:abstractNum w:abstractNumId="13">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4">
    <w:lvl w:ilvl="0">
      <w:start w:val="1"/>
      <w:numFmt w:val="decimal"/>
      <w:lvlText w:val="%1"/>
      <w:lvlJc w:val="left"/>
      <w:pPr>
        <w:ind w:left="530" w:hanging="530"/>
      </w:pPr>
      <w:rPr/>
    </w:lvl>
    <w:lvl w:ilvl="1">
      <w:start w:val="1"/>
      <w:numFmt w:val="decimal"/>
      <w:lvlText w:val="%1.%2"/>
      <w:lvlJc w:val="left"/>
      <w:pPr>
        <w:ind w:left="1796" w:hanging="720"/>
      </w:pPr>
      <w:rPr/>
    </w:lvl>
    <w:lvl w:ilvl="2">
      <w:start w:val="1"/>
      <w:numFmt w:val="decimal"/>
      <w:lvlText w:val="%1.%2.%3"/>
      <w:lvlJc w:val="left"/>
      <w:pPr>
        <w:ind w:left="3232" w:hanging="1080"/>
      </w:pPr>
      <w:rPr/>
    </w:lvl>
    <w:lvl w:ilvl="3">
      <w:start w:val="1"/>
      <w:numFmt w:val="decimal"/>
      <w:lvlText w:val="%1.%2.%3.%4"/>
      <w:lvlJc w:val="left"/>
      <w:pPr>
        <w:ind w:left="4668" w:hanging="1440"/>
      </w:pPr>
      <w:rPr/>
    </w:lvl>
    <w:lvl w:ilvl="4">
      <w:start w:val="1"/>
      <w:numFmt w:val="decimal"/>
      <w:lvlText w:val="%1.%2.%3.%4.%5"/>
      <w:lvlJc w:val="left"/>
      <w:pPr>
        <w:ind w:left="6104" w:hanging="1800"/>
      </w:pPr>
      <w:rPr/>
    </w:lvl>
    <w:lvl w:ilvl="5">
      <w:start w:val="1"/>
      <w:numFmt w:val="decimal"/>
      <w:lvlText w:val="%1.%2.%3.%4.%5.%6"/>
      <w:lvlJc w:val="left"/>
      <w:pPr>
        <w:ind w:left="7180" w:hanging="1800"/>
      </w:pPr>
      <w:rPr/>
    </w:lvl>
    <w:lvl w:ilvl="6">
      <w:start w:val="1"/>
      <w:numFmt w:val="decimal"/>
      <w:lvlText w:val="%1.%2.%3.%4.%5.%6.%7"/>
      <w:lvlJc w:val="left"/>
      <w:pPr>
        <w:ind w:left="8616" w:hanging="2160"/>
      </w:pPr>
      <w:rPr/>
    </w:lvl>
    <w:lvl w:ilvl="7">
      <w:start w:val="1"/>
      <w:numFmt w:val="decimal"/>
      <w:lvlText w:val="%1.%2.%3.%4.%5.%6.%7.%8"/>
      <w:lvlJc w:val="left"/>
      <w:pPr>
        <w:ind w:left="10052" w:hanging="2520"/>
      </w:pPr>
      <w:rPr/>
    </w:lvl>
    <w:lvl w:ilvl="8">
      <w:start w:val="1"/>
      <w:numFmt w:val="decimal"/>
      <w:lvlText w:val="%1.%2.%3.%4.%5.%6.%7.%8.%9"/>
      <w:lvlJc w:val="left"/>
      <w:pPr>
        <w:ind w:left="11488" w:hanging="2880"/>
      </w:pPr>
      <w:rPr/>
    </w:lvl>
  </w:abstractNum>
  <w:abstractNum w:abstractNumId="15">
    <w:lvl w:ilvl="0">
      <w:start w:val="1"/>
      <w:numFmt w:val="decimal"/>
      <w:lvlText w:val=""/>
      <w:lvlJc w:val="left"/>
      <w:pPr>
        <w:ind w:left="851" w:hanging="284"/>
      </w:pPr>
      <w:rPr>
        <w:rFonts w:ascii="Noto Sans Symbols" w:cs="Noto Sans Symbols" w:eastAsia="Noto Sans Symbols" w:hAnsi="Noto Sans Symbols"/>
        <w:b w:val="0"/>
        <w:i w:val="0"/>
        <w:color w:val="04617b"/>
        <w:sz w:val="18"/>
        <w:szCs w:val="1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2"/>
      <w:numFmt w:val="bullet"/>
      <w:lvlText w:val="-"/>
      <w:lvlJc w:val="left"/>
      <w:pPr>
        <w:ind w:left="720" w:hanging="360"/>
      </w:pPr>
      <w:rPr>
        <w:rFonts w:ascii="Source Sans Pro Light" w:cs="Source Sans Pro Light" w:eastAsia="Source Sans Pro Light" w:hAnsi="Source Sans Pro Light"/>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9">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Sans Pro Light" w:cs="Source Sans Pro Light" w:eastAsia="Source Sans Pro Light" w:hAnsi="Source Sans Pro Light"/>
        <w:sz w:val="21"/>
        <w:szCs w:val="21"/>
        <w:lang w:val="fr-FR"/>
      </w:rPr>
    </w:rPrDefault>
    <w:pPrDefault>
      <w:pPr>
        <w:spacing w:after="120" w:line="288"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360" w:before="720" w:lineRule="auto"/>
      <w:ind w:left="360" w:hanging="360"/>
    </w:pPr>
    <w:rPr>
      <w:rFonts w:ascii="Paris2024" w:cs="Paris2024" w:eastAsia="Paris2024" w:hAnsi="Paris2024"/>
      <w:b w:val="1"/>
      <w:color w:val="d6c377"/>
      <w:sz w:val="52"/>
      <w:szCs w:val="52"/>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80" w:line="240" w:lineRule="auto"/>
      <w:ind w:left="0" w:right="0" w:firstLine="0"/>
      <w:jc w:val="left"/>
    </w:pPr>
    <w:rPr>
      <w:rFonts w:ascii="Arial Black" w:cs="Arial Black" w:eastAsia="Arial Black" w:hAnsi="Arial Black"/>
      <w:b w:val="1"/>
      <w:i w:val="0"/>
      <w:smallCaps w:val="1"/>
      <w:strike w:val="0"/>
      <w:color w:val="000000"/>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504" w:right="0" w:hanging="504"/>
      <w:jc w:val="left"/>
    </w:pPr>
    <w:rPr>
      <w:rFonts w:ascii="Source Sans Pro Light" w:cs="Source Sans Pro Light" w:eastAsia="Source Sans Pro Light" w:hAnsi="Source Sans Pro Light"/>
      <w:b w:val="1"/>
      <w:i w:val="1"/>
      <w:smallCaps w:val="0"/>
      <w:strike w:val="0"/>
      <w:color w:val="000000"/>
      <w:sz w:val="28"/>
      <w:szCs w:val="28"/>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360" w:right="0" w:hanging="360"/>
      <w:jc w:val="left"/>
    </w:pPr>
    <w:rPr>
      <w:rFonts w:ascii="Paris2024" w:cs="Paris2024" w:eastAsia="Paris2024" w:hAnsi="Paris2024"/>
      <w:b w:val="0"/>
      <w:i w:val="0"/>
      <w:smallCaps w:val="1"/>
      <w:strike w:val="0"/>
      <w:color w:val="006aff"/>
      <w:sz w:val="21"/>
      <w:szCs w:val="21"/>
      <w:u w:val="none"/>
      <w:shd w:fill="auto" w:val="clear"/>
      <w:vertAlign w:val="baseline"/>
    </w:rPr>
  </w:style>
  <w:style w:type="paragraph" w:styleId="Heading5">
    <w:name w:val="heading 5"/>
    <w:basedOn w:val="Normal"/>
    <w:next w:val="Normal"/>
    <w:pPr>
      <w:keepNext w:val="1"/>
      <w:keepLines w:val="1"/>
      <w:spacing w:after="0" w:before="40" w:lineRule="auto"/>
    </w:pPr>
    <w:rPr>
      <w:rFonts w:ascii="Paris2024" w:cs="Paris2024" w:eastAsia="Paris2024" w:hAnsi="Paris2024"/>
      <w:color w:val="008647"/>
    </w:rPr>
  </w:style>
  <w:style w:type="paragraph" w:styleId="Heading6">
    <w:name w:val="heading 6"/>
    <w:basedOn w:val="Normal"/>
    <w:next w:val="Normal"/>
    <w:pPr>
      <w:keepNext w:val="1"/>
      <w:keepLines w:val="1"/>
      <w:spacing w:after="0" w:before="40" w:lineRule="auto"/>
    </w:pPr>
    <w:rPr>
      <w:rFonts w:ascii="Paris2024" w:cs="Paris2024" w:eastAsia="Paris2024" w:hAnsi="Paris2024"/>
      <w:color w:val="00592f"/>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aliases w:val="Corps de texte - Niv 1"/>
    <w:qFormat w:val="1"/>
    <w:rsid w:val="00471C53"/>
    <w:pPr>
      <w:spacing w:after="120" w:line="288" w:lineRule="auto"/>
      <w:jc w:val="both"/>
    </w:pPr>
    <w:rPr>
      <w:rFonts w:eastAsiaTheme="minorHAnsi"/>
      <w:color w:val="000000" w:themeColor="text1"/>
      <w:sz w:val="21"/>
      <w:lang w:eastAsia="en-US"/>
    </w:rPr>
  </w:style>
  <w:style w:type="paragraph" w:styleId="Titre1">
    <w:name w:val="heading 1"/>
    <w:basedOn w:val="Normal"/>
    <w:next w:val="Normal"/>
    <w:link w:val="Titre1Car"/>
    <w:uiPriority w:val="9"/>
    <w:qFormat w:val="1"/>
    <w:rsid w:val="00907F50"/>
    <w:pPr>
      <w:numPr>
        <w:numId w:val="13"/>
      </w:numPr>
      <w:spacing w:after="360" w:before="720"/>
      <w:contextualSpacing w:val="1"/>
      <w:outlineLvl w:val="0"/>
    </w:pPr>
    <w:rPr>
      <w:rFonts w:asciiTheme="majorHAnsi" w:cstheme="majorBidi" w:eastAsiaTheme="majorEastAsia" w:hAnsiTheme="majorHAnsi"/>
      <w:b w:val="1"/>
      <w:bCs w:val="1"/>
      <w:noProof w:val="1"/>
      <w:color w:val="d6c377" w:themeColor="background2"/>
      <w:spacing w:val="-10"/>
      <w:kern w:val="28"/>
      <w:sz w:val="52"/>
      <w:szCs w:val="52"/>
    </w:rPr>
  </w:style>
  <w:style w:type="paragraph" w:styleId="Titre2">
    <w:name w:val="heading 2"/>
    <w:next w:val="Normal"/>
    <w:link w:val="Titre2Car"/>
    <w:autoRedefine w:val="1"/>
    <w:uiPriority w:val="9"/>
    <w:unhideWhenUsed w:val="1"/>
    <w:rsid w:val="00CA5FA7"/>
    <w:pPr>
      <w:spacing w:after="240" w:before="480"/>
      <w:outlineLvl w:val="1"/>
    </w:pPr>
    <w:rPr>
      <w:rFonts w:ascii="Arial Black" w:hAnsi="Arial Black" w:eastAsiaTheme="minorHAnsi"/>
      <w:b w:val="1"/>
      <w:bCs w:val="1"/>
      <w:caps w:val="1"/>
      <w:color w:val="000000" w:themeColor="text1"/>
      <w:spacing w:val="20"/>
      <w:sz w:val="28"/>
      <w:szCs w:val="52"/>
      <w:lang w:eastAsia="en-US"/>
    </w:rPr>
  </w:style>
  <w:style w:type="paragraph" w:styleId="Titre3">
    <w:name w:val="heading 3"/>
    <w:next w:val="Normal"/>
    <w:link w:val="Titre3Car"/>
    <w:uiPriority w:val="9"/>
    <w:unhideWhenUsed w:val="1"/>
    <w:rsid w:val="00324957"/>
    <w:pPr>
      <w:numPr>
        <w:ilvl w:val="2"/>
        <w:numId w:val="14"/>
      </w:numPr>
      <w:spacing w:after="240" w:before="240"/>
      <w:outlineLvl w:val="2"/>
    </w:pPr>
    <w:rPr>
      <w:rFonts w:eastAsiaTheme="minorHAnsi"/>
      <w:b w:val="1"/>
      <w:bCs w:val="1"/>
      <w:i w:val="1"/>
      <w:iCs w:val="1"/>
      <w:color w:val="000000" w:themeColor="text1"/>
      <w:sz w:val="28"/>
      <w:szCs w:val="28"/>
      <w:lang w:eastAsia="en-US" w:val="en-GB"/>
    </w:rPr>
  </w:style>
  <w:style w:type="paragraph" w:styleId="Titre4">
    <w:name w:val="heading 4"/>
    <w:aliases w:val="intertitre"/>
    <w:next w:val="Normal"/>
    <w:link w:val="Titre4Car"/>
    <w:autoRedefine w:val="1"/>
    <w:uiPriority w:val="9"/>
    <w:unhideWhenUsed w:val="1"/>
    <w:qFormat w:val="1"/>
    <w:rsid w:val="00B45FD7"/>
    <w:pPr>
      <w:spacing w:after="120" w:before="360"/>
      <w:ind w:left="360" w:hanging="360"/>
      <w:outlineLvl w:val="3"/>
    </w:pPr>
    <w:rPr>
      <w:rFonts w:ascii="Paris2024" w:hAnsi="Paris2024" w:eastAsiaTheme="minorHAnsi"/>
      <w:caps w:val="1"/>
      <w:color w:val="006aff" w:themeColor="accent3"/>
      <w:spacing w:val="20"/>
      <w:sz w:val="21"/>
      <w:szCs w:val="21"/>
      <w:lang w:eastAsia="en-US"/>
    </w:rPr>
  </w:style>
  <w:style w:type="paragraph" w:styleId="Titre5">
    <w:name w:val="heading 5"/>
    <w:basedOn w:val="Normal"/>
    <w:next w:val="Normal"/>
    <w:link w:val="Titre5Car"/>
    <w:uiPriority w:val="9"/>
    <w:unhideWhenUsed w:val="1"/>
    <w:rsid w:val="00941FC0"/>
    <w:pPr>
      <w:keepNext w:val="1"/>
      <w:keepLines w:val="1"/>
      <w:spacing w:after="0" w:before="40"/>
      <w:outlineLvl w:val="4"/>
    </w:pPr>
    <w:rPr>
      <w:rFonts w:asciiTheme="majorHAnsi" w:cstheme="majorBidi" w:eastAsiaTheme="majorEastAsia" w:hAnsiTheme="majorHAnsi"/>
      <w:color w:val="008646" w:themeColor="accent1" w:themeShade="0000BF"/>
    </w:rPr>
  </w:style>
  <w:style w:type="paragraph" w:styleId="Titre6">
    <w:name w:val="heading 6"/>
    <w:basedOn w:val="Normal"/>
    <w:next w:val="Normal"/>
    <w:link w:val="Titre6Car"/>
    <w:uiPriority w:val="9"/>
    <w:unhideWhenUsed w:val="1"/>
    <w:qFormat w:val="1"/>
    <w:rsid w:val="00941FC0"/>
    <w:pPr>
      <w:keepNext w:val="1"/>
      <w:keepLines w:val="1"/>
      <w:spacing w:after="0" w:before="40"/>
      <w:outlineLvl w:val="5"/>
    </w:pPr>
    <w:rPr>
      <w:rFonts w:asciiTheme="majorHAnsi" w:cstheme="majorBidi" w:eastAsiaTheme="majorEastAsia" w:hAnsiTheme="majorHAnsi"/>
      <w:color w:val="00592f" w:themeColor="accent1" w:themeShade="00007F"/>
    </w:rPr>
  </w:style>
  <w:style w:type="paragraph" w:styleId="Titre7">
    <w:name w:val="heading 7"/>
    <w:basedOn w:val="Normal"/>
    <w:next w:val="Normal"/>
    <w:link w:val="Titre7Car"/>
    <w:uiPriority w:val="9"/>
    <w:unhideWhenUsed w:val="1"/>
    <w:qFormat w:val="1"/>
    <w:rsid w:val="00941FC0"/>
    <w:pPr>
      <w:keepNext w:val="1"/>
      <w:keepLines w:val="1"/>
      <w:spacing w:after="0" w:before="40"/>
      <w:outlineLvl w:val="6"/>
    </w:pPr>
    <w:rPr>
      <w:rFonts w:asciiTheme="majorHAnsi" w:cstheme="majorBidi" w:eastAsiaTheme="majorEastAsia" w:hAnsiTheme="majorHAnsi"/>
      <w:i w:val="1"/>
      <w:iCs w:val="1"/>
      <w:color w:val="00592f" w:themeColor="accent1" w:themeShade="00007F"/>
    </w:rPr>
  </w:style>
  <w:style w:type="paragraph" w:styleId="Titre8">
    <w:name w:val="heading 8"/>
    <w:basedOn w:val="Normal"/>
    <w:next w:val="Normal"/>
    <w:link w:val="Titre8Car"/>
    <w:uiPriority w:val="9"/>
    <w:unhideWhenUsed w:val="1"/>
    <w:qFormat w:val="1"/>
    <w:rsid w:val="00941FC0"/>
    <w:pPr>
      <w:keepNext w:val="1"/>
      <w:keepLines w:val="1"/>
      <w:spacing w:after="0" w:before="40"/>
      <w:outlineLvl w:val="7"/>
    </w:pPr>
    <w:rPr>
      <w:rFonts w:asciiTheme="majorHAnsi" w:cstheme="majorBidi" w:eastAsiaTheme="majorEastAsia" w:hAnsiTheme="majorHAnsi"/>
      <w:color w:val="272727" w:themeColor="text1" w:themeTint="0000D8"/>
      <w:szCs w:val="21"/>
    </w:rPr>
  </w:style>
  <w:style w:type="paragraph" w:styleId="Titre9">
    <w:name w:val="heading 9"/>
    <w:basedOn w:val="Normal"/>
    <w:next w:val="Normal"/>
    <w:link w:val="Titre9Car"/>
    <w:uiPriority w:val="9"/>
    <w:semiHidden w:val="1"/>
    <w:unhideWhenUsed w:val="1"/>
    <w:qFormat w:val="1"/>
    <w:rsid w:val="00941FC0"/>
    <w:pPr>
      <w:keepNext w:val="1"/>
      <w:keepLines w:val="1"/>
      <w:spacing w:after="0" w:before="40"/>
      <w:outlineLvl w:val="8"/>
    </w:pPr>
    <w:rPr>
      <w:rFonts w:asciiTheme="majorHAnsi" w:cstheme="majorBidi" w:eastAsiaTheme="majorEastAsia" w:hAnsiTheme="majorHAnsi"/>
      <w:i w:val="1"/>
      <w:iCs w:val="1"/>
      <w:color w:val="272727" w:themeColor="text1" w:themeTint="0000D8"/>
      <w:szCs w:val="21"/>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Titredeparagraphe" w:customStyle="1">
    <w:name w:val="Titre de paragraphe"/>
    <w:basedOn w:val="Normal"/>
    <w:qFormat w:val="1"/>
    <w:rsid w:val="007D4988"/>
    <w:pPr>
      <w:spacing w:before="360"/>
    </w:pPr>
    <w:rPr>
      <w:b w:val="1"/>
      <w:bCs w:val="1"/>
      <w:caps w:val="1"/>
      <w:color w:val="006aff" w:themeColor="accent3"/>
      <w:spacing w:val="20"/>
      <w:sz w:val="18"/>
      <w:szCs w:val="21"/>
    </w:rPr>
  </w:style>
  <w:style w:type="paragraph" w:styleId="En-tte">
    <w:name w:val="header"/>
    <w:basedOn w:val="Normal"/>
    <w:link w:val="En-tteCar"/>
    <w:uiPriority w:val="99"/>
    <w:unhideWhenUsed w:val="1"/>
    <w:rsid w:val="002D1420"/>
    <w:pPr>
      <w:tabs>
        <w:tab w:val="center" w:pos="4536"/>
        <w:tab w:val="right" w:pos="9072"/>
      </w:tabs>
      <w:spacing w:after="0" w:line="240" w:lineRule="auto"/>
    </w:pPr>
  </w:style>
  <w:style w:type="paragraph" w:styleId="Pieddepage">
    <w:name w:val="footer"/>
    <w:basedOn w:val="Normal"/>
    <w:link w:val="PieddepageCar"/>
    <w:uiPriority w:val="99"/>
    <w:unhideWhenUsed w:val="1"/>
    <w:rsid w:val="008A5F71"/>
    <w:pPr>
      <w:tabs>
        <w:tab w:val="center" w:pos="4536"/>
        <w:tab w:val="right" w:pos="9072"/>
      </w:tabs>
      <w:adjustRightInd w:val="0"/>
      <w:snapToGrid w:val="0"/>
      <w:spacing w:after="0" w:line="240" w:lineRule="auto"/>
    </w:pPr>
    <w:rPr>
      <w:b w:val="1"/>
      <w:i w:val="1"/>
      <w:color w:val="808080" w:themeColor="background1" w:themeShade="000080"/>
      <w:sz w:val="13"/>
    </w:rPr>
  </w:style>
  <w:style w:type="character" w:styleId="PieddepageCar" w:customStyle="1">
    <w:name w:val="Pied de page Car"/>
    <w:basedOn w:val="Policepardfaut"/>
    <w:link w:val="Pieddepage"/>
    <w:uiPriority w:val="99"/>
    <w:rsid w:val="008A5F71"/>
    <w:rPr>
      <w:rFonts w:eastAsiaTheme="minorHAnsi"/>
      <w:b w:val="1"/>
      <w:i w:val="1"/>
      <w:color w:val="808080" w:themeColor="background1" w:themeShade="000080"/>
      <w:sz w:val="13"/>
      <w:lang w:eastAsia="en-US"/>
    </w:rPr>
  </w:style>
  <w:style w:type="character" w:styleId="Numrodepage">
    <w:name w:val="page number"/>
    <w:basedOn w:val="Policepardfaut"/>
    <w:uiPriority w:val="99"/>
    <w:semiHidden w:val="1"/>
    <w:unhideWhenUsed w:val="1"/>
    <w:rsid w:val="00FB1E20"/>
    <w:rPr>
      <w:rFonts w:ascii="Arial" w:hAnsi="Arial" w:cstheme="minorBidi"/>
      <w:bCs w:val="0"/>
      <w:iCs w:val="0"/>
      <w:caps w:val="0"/>
      <w:smallCaps w:val="0"/>
      <w:strike w:val="0"/>
      <w:dstrike w:val="0"/>
      <w:vanish w:val="0"/>
      <w:color w:val="000000" w:themeColor="text1"/>
      <w:spacing w:val="0"/>
      <w:position w:val="0"/>
      <w:sz w:val="21"/>
      <w:szCs w:val="21"/>
      <w:u w:val="none"/>
      <w:vertAlign w:val="baseline"/>
    </w:rPr>
  </w:style>
  <w:style w:type="paragraph" w:styleId="TM1">
    <w:name w:val="toc 1"/>
    <w:basedOn w:val="Normal"/>
    <w:next w:val="Normal"/>
    <w:autoRedefine w:val="1"/>
    <w:uiPriority w:val="39"/>
    <w:unhideWhenUsed w:val="1"/>
    <w:rsid w:val="00310262"/>
    <w:pPr>
      <w:tabs>
        <w:tab w:val="left" w:pos="390"/>
        <w:tab w:val="right" w:leader="dot" w:pos="9735"/>
      </w:tabs>
      <w:spacing w:before="120"/>
      <w:jc w:val="left"/>
    </w:pPr>
    <w:rPr>
      <w:rFonts w:cstheme="minorHAnsi"/>
      <w:b w:val="1"/>
      <w:bCs w:val="1"/>
      <w:caps w:val="1"/>
      <w:sz w:val="20"/>
    </w:rPr>
  </w:style>
  <w:style w:type="paragraph" w:styleId="TM2">
    <w:name w:val="toc 2"/>
    <w:basedOn w:val="Normal"/>
    <w:next w:val="Normal"/>
    <w:autoRedefine w:val="1"/>
    <w:uiPriority w:val="39"/>
    <w:unhideWhenUsed w:val="1"/>
    <w:rsid w:val="008F00F6"/>
    <w:pPr>
      <w:spacing w:after="0"/>
      <w:ind w:left="210"/>
      <w:jc w:val="left"/>
    </w:pPr>
    <w:rPr>
      <w:rFonts w:cstheme="minorHAnsi"/>
      <w:smallCaps w:val="1"/>
      <w:sz w:val="20"/>
    </w:rPr>
  </w:style>
  <w:style w:type="character" w:styleId="Titre1Car" w:customStyle="1">
    <w:name w:val="Titre 1 Car"/>
    <w:basedOn w:val="Policepardfaut"/>
    <w:link w:val="Titre1"/>
    <w:uiPriority w:val="9"/>
    <w:rsid w:val="00907F50"/>
    <w:rPr>
      <w:rFonts w:asciiTheme="majorHAnsi" w:cstheme="majorBidi" w:eastAsiaTheme="majorEastAsia" w:hAnsiTheme="majorHAnsi"/>
      <w:b w:val="1"/>
      <w:bCs w:val="1"/>
      <w:noProof w:val="1"/>
      <w:color w:val="d6c377" w:themeColor="background2"/>
      <w:spacing w:val="-10"/>
      <w:kern w:val="28"/>
      <w:sz w:val="52"/>
      <w:szCs w:val="52"/>
      <w:lang w:eastAsia="en-US"/>
    </w:rPr>
  </w:style>
  <w:style w:type="paragraph" w:styleId="Paragraphedeliste">
    <w:name w:val="List Paragraph"/>
    <w:aliases w:val="bullet 1,lp1,Bullet OSM,MSA_EDF_Bullet3,TOC style,AMR Paragraphe de liste 1er niveau,Source,Colorful List - Accent 11,List Paragraph3,List Paragraph2,Bull - Bullet niveau 1,Niveau1,ARS Puces,List Paragraph1,Bullet List,FooterText"/>
    <w:basedOn w:val="Normal"/>
    <w:link w:val="ParagraphedelisteCar"/>
    <w:uiPriority w:val="34"/>
    <w:qFormat w:val="1"/>
    <w:rsid w:val="00F54FFA"/>
    <w:pPr>
      <w:ind w:left="720"/>
      <w:contextualSpacing w:val="1"/>
    </w:pPr>
  </w:style>
  <w:style w:type="paragraph" w:styleId="TM3">
    <w:name w:val="toc 3"/>
    <w:basedOn w:val="Normal"/>
    <w:next w:val="Normal"/>
    <w:autoRedefine w:val="1"/>
    <w:uiPriority w:val="39"/>
    <w:unhideWhenUsed w:val="1"/>
    <w:rsid w:val="00C064F6"/>
    <w:pPr>
      <w:spacing w:after="0"/>
      <w:ind w:left="420"/>
      <w:jc w:val="left"/>
    </w:pPr>
    <w:rPr>
      <w:rFonts w:cstheme="minorHAnsi"/>
      <w:i w:val="1"/>
      <w:iCs w:val="1"/>
      <w:sz w:val="20"/>
    </w:rPr>
  </w:style>
  <w:style w:type="character" w:styleId="En-tteCar" w:customStyle="1">
    <w:name w:val="En-tête Car"/>
    <w:basedOn w:val="Policepardfaut"/>
    <w:link w:val="En-tte"/>
    <w:uiPriority w:val="99"/>
    <w:rsid w:val="002D1420"/>
    <w:rPr>
      <w:rFonts w:eastAsiaTheme="minorHAnsi"/>
      <w:color w:val="000000" w:themeColor="text1"/>
      <w:sz w:val="21"/>
      <w:lang w:eastAsia="en-US"/>
    </w:rPr>
  </w:style>
  <w:style w:type="character" w:styleId="Titre2Car" w:customStyle="1">
    <w:name w:val="Titre 2 Car"/>
    <w:basedOn w:val="Policepardfaut"/>
    <w:link w:val="Titre2"/>
    <w:uiPriority w:val="9"/>
    <w:rsid w:val="00CA5FA7"/>
    <w:rPr>
      <w:rFonts w:ascii="Arial Black" w:hAnsi="Arial Black" w:eastAsiaTheme="minorHAnsi"/>
      <w:b w:val="1"/>
      <w:bCs w:val="1"/>
      <w:caps w:val="1"/>
      <w:color w:val="000000" w:themeColor="text1"/>
      <w:spacing w:val="20"/>
      <w:sz w:val="28"/>
      <w:szCs w:val="52"/>
      <w:lang w:eastAsia="en-US"/>
    </w:rPr>
  </w:style>
  <w:style w:type="character" w:styleId="Titre3Car" w:customStyle="1">
    <w:name w:val="Titre 3 Car"/>
    <w:basedOn w:val="Policepardfaut"/>
    <w:link w:val="Titre3"/>
    <w:uiPriority w:val="9"/>
    <w:rsid w:val="00324957"/>
    <w:rPr>
      <w:rFonts w:eastAsiaTheme="minorHAnsi"/>
      <w:b w:val="1"/>
      <w:bCs w:val="1"/>
      <w:i w:val="1"/>
      <w:iCs w:val="1"/>
      <w:color w:val="000000" w:themeColor="text1"/>
      <w:sz w:val="28"/>
      <w:szCs w:val="28"/>
      <w:lang w:eastAsia="en-US" w:val="en-GB"/>
    </w:rPr>
  </w:style>
  <w:style w:type="character" w:styleId="Titre4Car" w:customStyle="1">
    <w:name w:val="Titre 4 Car"/>
    <w:aliases w:val="intertitre Car"/>
    <w:basedOn w:val="Policepardfaut"/>
    <w:link w:val="Titre4"/>
    <w:uiPriority w:val="9"/>
    <w:rsid w:val="00B45FD7"/>
    <w:rPr>
      <w:rFonts w:ascii="Paris2024" w:hAnsi="Paris2024" w:eastAsiaTheme="minorHAnsi"/>
      <w:caps w:val="1"/>
      <w:color w:val="006aff" w:themeColor="accent3"/>
      <w:spacing w:val="20"/>
      <w:sz w:val="21"/>
      <w:szCs w:val="21"/>
      <w:lang w:eastAsia="en-US"/>
    </w:rPr>
  </w:style>
  <w:style w:type="numbering" w:styleId="111111">
    <w:name w:val="Outline List 2"/>
    <w:basedOn w:val="Aucuneliste"/>
    <w:uiPriority w:val="99"/>
    <w:semiHidden w:val="1"/>
    <w:unhideWhenUsed w:val="1"/>
    <w:rsid w:val="00B75F91"/>
    <w:pPr>
      <w:numPr>
        <w:numId w:val="12"/>
      </w:numPr>
    </w:pPr>
  </w:style>
  <w:style w:type="character" w:styleId="Accentuation">
    <w:name w:val="Emphasis"/>
    <w:aliases w:val="Légende photos,graphiques"/>
    <w:uiPriority w:val="20"/>
    <w:rsid w:val="00E8667B"/>
    <w:rPr>
      <w:rFonts w:ascii="Arial" w:hAnsi="Arial"/>
      <w:i w:val="1"/>
      <w:iCs w:val="1"/>
      <w:color w:val="a6a6a6" w:themeColor="background1" w:themeShade="0000A6"/>
      <w:sz w:val="20"/>
      <w:szCs w:val="20"/>
    </w:rPr>
  </w:style>
  <w:style w:type="character" w:styleId="Rfrencelgre">
    <w:name w:val="Subtle Reference"/>
    <w:basedOn w:val="Policepardfaut"/>
    <w:uiPriority w:val="31"/>
    <w:rsid w:val="00F54FFA"/>
    <w:rPr>
      <w:rFonts w:ascii="Arial" w:hAnsi="Arial" w:cstheme="minorBidi"/>
      <w:bCs w:val="0"/>
      <w:iCs w:val="0"/>
      <w:caps w:val="0"/>
      <w:smallCaps w:val="1"/>
      <w:strike w:val="0"/>
      <w:dstrike w:val="0"/>
      <w:vanish w:val="0"/>
      <w:color w:val="5a5a5a" w:themeColor="text1" w:themeTint="0000A5"/>
      <w:spacing w:val="0"/>
      <w:position w:val="0"/>
      <w:sz w:val="21"/>
      <w:szCs w:val="21"/>
      <w:u w:val="none"/>
      <w:vertAlign w:val="baseline"/>
    </w:rPr>
  </w:style>
  <w:style w:type="paragraph" w:styleId="Cartouche" w:customStyle="1">
    <w:name w:val="Cartouche"/>
    <w:basedOn w:val="Normal"/>
    <w:qFormat w:val="1"/>
    <w:rsid w:val="0089015B"/>
    <w:pPr>
      <w:pBdr>
        <w:top w:color="006aff" w:space="15" w:sz="4" w:themeColor="accent3" w:val="single"/>
        <w:left w:color="006aff" w:space="10" w:sz="4" w:themeColor="accent3" w:val="single"/>
        <w:bottom w:color="006aff" w:space="15" w:sz="4" w:themeColor="accent3" w:val="single"/>
        <w:right w:color="006aff" w:space="10" w:sz="4" w:themeColor="accent3" w:val="single"/>
      </w:pBdr>
      <w:shd w:color="auto" w:fill="006aff" w:themeFill="accent3" w:val="clear"/>
      <w:spacing w:after="200" w:before="200"/>
      <w:jc w:val="center"/>
    </w:pPr>
  </w:style>
  <w:style w:type="paragraph" w:styleId="Corpsdetexte-Niv2" w:customStyle="1">
    <w:name w:val="Corps de texte - Niv 2"/>
    <w:basedOn w:val="Paragraphedeliste"/>
    <w:qFormat w:val="1"/>
    <w:rsid w:val="00471C53"/>
    <w:pPr>
      <w:ind w:left="357"/>
      <w:contextualSpacing w:val="0"/>
    </w:pPr>
  </w:style>
  <w:style w:type="paragraph" w:styleId="Corpsdetexte-Niv3" w:customStyle="1">
    <w:name w:val="Corps de texte - Niv 3"/>
    <w:basedOn w:val="Paragraphedeliste"/>
    <w:qFormat w:val="1"/>
    <w:rsid w:val="00471C53"/>
    <w:pPr>
      <w:ind w:left="709"/>
      <w:contextualSpacing w:val="0"/>
    </w:pPr>
  </w:style>
  <w:style w:type="paragraph" w:styleId="Citationintense">
    <w:name w:val="Intense Quote"/>
    <w:aliases w:val="Citation centrée"/>
    <w:basedOn w:val="Normal"/>
    <w:next w:val="Normal"/>
    <w:link w:val="CitationintenseCar"/>
    <w:uiPriority w:val="30"/>
    <w:qFormat w:val="1"/>
    <w:rsid w:val="005C7128"/>
    <w:pPr>
      <w:pBdr>
        <w:top w:color="006aff" w:space="10" w:sz="4" w:themeColor="accent3" w:val="single"/>
        <w:bottom w:color="006aff" w:space="10" w:sz="4" w:themeColor="accent3" w:val="single"/>
      </w:pBdr>
      <w:spacing w:after="360" w:before="360"/>
      <w:ind w:left="864" w:right="864"/>
      <w:jc w:val="center"/>
    </w:pPr>
    <w:rPr>
      <w:i w:val="1"/>
      <w:iCs w:val="1"/>
      <w:color w:val="006aff" w:themeColor="accent3"/>
    </w:rPr>
  </w:style>
  <w:style w:type="character" w:styleId="CitationintenseCar" w:customStyle="1">
    <w:name w:val="Citation intense Car"/>
    <w:aliases w:val="Citation centrée Car"/>
    <w:basedOn w:val="Policepardfaut"/>
    <w:link w:val="Citationintense"/>
    <w:uiPriority w:val="30"/>
    <w:rsid w:val="005C7128"/>
    <w:rPr>
      <w:rFonts w:eastAsiaTheme="minorHAnsi"/>
      <w:i w:val="1"/>
      <w:iCs w:val="1"/>
      <w:color w:val="006aff" w:themeColor="accent3"/>
      <w:sz w:val="21"/>
      <w:lang w:eastAsia="en-US"/>
    </w:rPr>
  </w:style>
  <w:style w:type="paragraph" w:styleId="Titredudocument" w:customStyle="1">
    <w:name w:val="Titre du document"/>
    <w:basedOn w:val="Normal"/>
    <w:qFormat w:val="1"/>
    <w:rsid w:val="00907F50"/>
    <w:pPr>
      <w:spacing w:line="216" w:lineRule="auto"/>
    </w:pPr>
    <w:rPr>
      <w:rFonts w:ascii="Paris2024" w:hAnsi="Paris2024" w:cstheme="majorBidi" w:eastAsiaTheme="majorEastAsia"/>
      <w:b w:val="1"/>
      <w:caps w:val="1"/>
      <w:sz w:val="96"/>
      <w:szCs w:val="108"/>
    </w:rPr>
  </w:style>
  <w:style w:type="paragraph" w:styleId="Sous-titredudocument" w:customStyle="1">
    <w:name w:val="Sous-titre du document"/>
    <w:basedOn w:val="Titredudocument"/>
    <w:qFormat w:val="1"/>
    <w:rsid w:val="00907F50"/>
    <w:pPr>
      <w:spacing w:before="240"/>
    </w:pPr>
    <w:rPr>
      <w:bCs w:val="1"/>
      <w:caps w:val="0"/>
      <w:color w:val="d6c377" w:themeColor="background2"/>
      <w:sz w:val="36"/>
      <w:szCs w:val="36"/>
    </w:rPr>
  </w:style>
  <w:style w:type="paragraph" w:styleId="Listepuces">
    <w:name w:val="List Bullet"/>
    <w:next w:val="Normal"/>
    <w:link w:val="ListepucesCar"/>
    <w:uiPriority w:val="99"/>
    <w:unhideWhenUsed w:val="1"/>
    <w:rsid w:val="00984823"/>
    <w:pPr>
      <w:numPr>
        <w:numId w:val="11"/>
      </w:numPr>
      <w:ind w:left="357" w:hanging="357"/>
      <w:contextualSpacing w:val="1"/>
    </w:pPr>
    <w:rPr>
      <w:rFonts w:eastAsiaTheme="minorHAnsi"/>
      <w:color w:val="000000" w:themeColor="text1"/>
      <w:sz w:val="21"/>
      <w:lang w:eastAsia="en-US"/>
    </w:rPr>
  </w:style>
  <w:style w:type="paragraph" w:styleId="Typededocument" w:customStyle="1">
    <w:name w:val="Type de document"/>
    <w:basedOn w:val="Normal"/>
    <w:qFormat w:val="1"/>
    <w:rsid w:val="00447F77"/>
    <w:pPr>
      <w:spacing w:line="360" w:lineRule="auto"/>
      <w:jc w:val="right"/>
    </w:pPr>
    <w:rPr>
      <w:b w:val="1"/>
      <w:bCs w:val="1"/>
      <w:i w:val="1"/>
      <w:iCs w:val="1"/>
      <w:caps w:val="1"/>
      <w:spacing w:val="26"/>
      <w:sz w:val="16"/>
      <w:szCs w:val="18"/>
    </w:rPr>
  </w:style>
  <w:style w:type="paragraph" w:styleId="Listenumrote" w:customStyle="1">
    <w:name w:val="Liste numérotée"/>
    <w:basedOn w:val="Paragraphedeliste"/>
    <w:qFormat w:val="1"/>
    <w:rsid w:val="00471C53"/>
    <w:pPr>
      <w:numPr>
        <w:numId w:val="15"/>
      </w:numPr>
    </w:pPr>
  </w:style>
  <w:style w:type="paragraph" w:styleId="En-ttedetabledesmatires">
    <w:name w:val="TOC Heading"/>
    <w:basedOn w:val="Titre1"/>
    <w:next w:val="Normal"/>
    <w:uiPriority w:val="39"/>
    <w:unhideWhenUsed w:val="1"/>
    <w:qFormat w:val="1"/>
    <w:rsid w:val="008F00F6"/>
    <w:pPr>
      <w:keepNext w:val="1"/>
      <w:keepLines w:val="1"/>
      <w:spacing w:before="480" w:line="276" w:lineRule="auto"/>
      <w:outlineLvl w:val="9"/>
    </w:pPr>
    <w:rPr>
      <w:caps w:val="1"/>
      <w:color w:val="008646" w:themeColor="accent1" w:themeShade="0000BF"/>
      <w:spacing w:val="0"/>
      <w:sz w:val="28"/>
      <w:szCs w:val="28"/>
      <w:lang w:eastAsia="zh-CN"/>
    </w:rPr>
  </w:style>
  <w:style w:type="character" w:styleId="Lienhypertexte">
    <w:name w:val="Hyperlink"/>
    <w:basedOn w:val="Policepardfaut"/>
    <w:uiPriority w:val="99"/>
    <w:unhideWhenUsed w:val="1"/>
    <w:rsid w:val="006577A1"/>
    <w:rPr>
      <w:color w:val="f9b900" w:themeColor="hyperlink"/>
      <w:u w:val="single"/>
    </w:rPr>
  </w:style>
  <w:style w:type="paragraph" w:styleId="TM4">
    <w:name w:val="toc 4"/>
    <w:basedOn w:val="Normal"/>
    <w:next w:val="Normal"/>
    <w:autoRedefine w:val="1"/>
    <w:uiPriority w:val="39"/>
    <w:unhideWhenUsed w:val="1"/>
    <w:rsid w:val="008F00F6"/>
    <w:pPr>
      <w:spacing w:after="0"/>
      <w:ind w:left="630"/>
      <w:jc w:val="left"/>
    </w:pPr>
    <w:rPr>
      <w:rFonts w:cstheme="minorHAnsi"/>
      <w:sz w:val="18"/>
      <w:szCs w:val="21"/>
    </w:rPr>
  </w:style>
  <w:style w:type="paragraph" w:styleId="TM5">
    <w:name w:val="toc 5"/>
    <w:basedOn w:val="Normal"/>
    <w:next w:val="Normal"/>
    <w:autoRedefine w:val="1"/>
    <w:uiPriority w:val="39"/>
    <w:unhideWhenUsed w:val="1"/>
    <w:rsid w:val="008F00F6"/>
    <w:pPr>
      <w:spacing w:after="0"/>
      <w:ind w:left="840"/>
      <w:jc w:val="left"/>
    </w:pPr>
    <w:rPr>
      <w:rFonts w:cstheme="minorHAnsi"/>
      <w:sz w:val="18"/>
      <w:szCs w:val="21"/>
    </w:rPr>
  </w:style>
  <w:style w:type="paragraph" w:styleId="TM6">
    <w:name w:val="toc 6"/>
    <w:basedOn w:val="Normal"/>
    <w:next w:val="Normal"/>
    <w:autoRedefine w:val="1"/>
    <w:uiPriority w:val="39"/>
    <w:unhideWhenUsed w:val="1"/>
    <w:rsid w:val="008F00F6"/>
    <w:pPr>
      <w:spacing w:after="0"/>
      <w:ind w:left="1050"/>
      <w:jc w:val="left"/>
    </w:pPr>
    <w:rPr>
      <w:rFonts w:cstheme="minorHAnsi"/>
      <w:sz w:val="18"/>
      <w:szCs w:val="21"/>
    </w:rPr>
  </w:style>
  <w:style w:type="paragraph" w:styleId="TM7">
    <w:name w:val="toc 7"/>
    <w:basedOn w:val="Normal"/>
    <w:next w:val="Normal"/>
    <w:autoRedefine w:val="1"/>
    <w:uiPriority w:val="39"/>
    <w:unhideWhenUsed w:val="1"/>
    <w:rsid w:val="008F00F6"/>
    <w:pPr>
      <w:spacing w:after="0"/>
      <w:ind w:left="1260"/>
      <w:jc w:val="left"/>
    </w:pPr>
    <w:rPr>
      <w:rFonts w:cstheme="minorHAnsi"/>
      <w:sz w:val="18"/>
      <w:szCs w:val="21"/>
    </w:rPr>
  </w:style>
  <w:style w:type="paragraph" w:styleId="TM8">
    <w:name w:val="toc 8"/>
    <w:basedOn w:val="Normal"/>
    <w:next w:val="Normal"/>
    <w:autoRedefine w:val="1"/>
    <w:uiPriority w:val="39"/>
    <w:unhideWhenUsed w:val="1"/>
    <w:rsid w:val="008F00F6"/>
    <w:pPr>
      <w:spacing w:after="0"/>
      <w:ind w:left="1470"/>
      <w:jc w:val="left"/>
    </w:pPr>
    <w:rPr>
      <w:rFonts w:cstheme="minorHAnsi"/>
      <w:sz w:val="18"/>
      <w:szCs w:val="21"/>
    </w:rPr>
  </w:style>
  <w:style w:type="paragraph" w:styleId="TM9">
    <w:name w:val="toc 9"/>
    <w:basedOn w:val="Normal"/>
    <w:next w:val="Normal"/>
    <w:autoRedefine w:val="1"/>
    <w:uiPriority w:val="39"/>
    <w:unhideWhenUsed w:val="1"/>
    <w:rsid w:val="008F00F6"/>
    <w:pPr>
      <w:spacing w:after="0"/>
      <w:ind w:left="1680"/>
      <w:jc w:val="left"/>
    </w:pPr>
    <w:rPr>
      <w:rFonts w:cstheme="minorHAnsi"/>
      <w:sz w:val="18"/>
      <w:szCs w:val="21"/>
    </w:rPr>
  </w:style>
  <w:style w:type="character" w:styleId="ListepucesCar" w:customStyle="1">
    <w:name w:val="Liste à puces Car"/>
    <w:basedOn w:val="Policepardfaut"/>
    <w:link w:val="Listepuces"/>
    <w:uiPriority w:val="99"/>
    <w:rsid w:val="00984823"/>
    <w:rPr>
      <w:rFonts w:eastAsiaTheme="minorHAnsi"/>
      <w:color w:val="000000" w:themeColor="text1"/>
      <w:sz w:val="21"/>
      <w:lang w:eastAsia="en-US"/>
    </w:rPr>
  </w:style>
  <w:style w:type="paragraph" w:styleId="Lgende">
    <w:name w:val="caption"/>
    <w:next w:val="Normal"/>
    <w:uiPriority w:val="35"/>
    <w:unhideWhenUsed w:val="1"/>
    <w:qFormat w:val="1"/>
    <w:rsid w:val="00DD25AC"/>
    <w:pPr>
      <w:spacing w:after="120" w:before="120"/>
    </w:pPr>
    <w:rPr>
      <w:rFonts w:eastAsiaTheme="minorHAnsi"/>
      <w:i w:val="1"/>
      <w:iCs w:val="1"/>
      <w:color w:val="808080" w:themeColor="background1" w:themeShade="000080"/>
      <w:sz w:val="18"/>
      <w:szCs w:val="18"/>
      <w:lang w:eastAsia="en-US"/>
    </w:rPr>
  </w:style>
  <w:style w:type="paragraph" w:styleId="Tabledesillustrations">
    <w:name w:val="table of figures"/>
    <w:basedOn w:val="Normal"/>
    <w:next w:val="Normal"/>
    <w:uiPriority w:val="99"/>
    <w:unhideWhenUsed w:val="1"/>
    <w:rsid w:val="00DF4EA4"/>
    <w:pPr>
      <w:spacing w:after="0"/>
    </w:pPr>
  </w:style>
  <w:style w:type="paragraph" w:styleId="Confidentialit" w:customStyle="1">
    <w:name w:val="Confidentialité"/>
    <w:basedOn w:val="Normal"/>
    <w:autoRedefine w:val="1"/>
    <w:qFormat w:val="1"/>
    <w:rsid w:val="0038475D"/>
    <w:pPr>
      <w:spacing w:after="0" w:line="240" w:lineRule="auto"/>
      <w:jc w:val="right"/>
    </w:pPr>
    <w:rPr>
      <w:rFonts w:ascii="Arial Black" w:hAnsi="Arial Black"/>
      <w:b w:val="1"/>
      <w:bCs w:val="1"/>
      <w:caps w:val="1"/>
      <w:color w:val="d6c377" w:themeColor="background2"/>
      <w:sz w:val="15"/>
      <w:szCs w:val="18"/>
    </w:rPr>
  </w:style>
  <w:style w:type="table" w:styleId="Grilledutableau">
    <w:name w:val="Table Grid"/>
    <w:basedOn w:val="TableauNormal"/>
    <w:uiPriority w:val="39"/>
    <w:rsid w:val="0094406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ansinterligne">
    <w:name w:val="No Spacing"/>
    <w:uiPriority w:val="1"/>
    <w:qFormat w:val="1"/>
    <w:rsid w:val="005745E2"/>
    <w:pPr>
      <w:jc w:val="both"/>
    </w:pPr>
    <w:rPr>
      <w:rFonts w:eastAsiaTheme="minorHAnsi"/>
      <w:color w:val="000000" w:themeColor="text1"/>
      <w:sz w:val="21"/>
      <w:lang w:eastAsia="en-US"/>
    </w:rPr>
  </w:style>
  <w:style w:type="character" w:styleId="Titre5Car" w:customStyle="1">
    <w:name w:val="Titre 5 Car"/>
    <w:basedOn w:val="Policepardfaut"/>
    <w:link w:val="Titre5"/>
    <w:uiPriority w:val="9"/>
    <w:rsid w:val="00C6611B"/>
    <w:rPr>
      <w:rFonts w:asciiTheme="majorHAnsi" w:cstheme="majorBidi" w:eastAsiaTheme="majorEastAsia" w:hAnsiTheme="majorHAnsi"/>
      <w:color w:val="008646" w:themeColor="accent1" w:themeShade="0000BF"/>
      <w:sz w:val="21"/>
      <w:lang w:eastAsia="en-US"/>
    </w:rPr>
  </w:style>
  <w:style w:type="character" w:styleId="Titre6Car" w:customStyle="1">
    <w:name w:val="Titre 6 Car"/>
    <w:basedOn w:val="Policepardfaut"/>
    <w:link w:val="Titre6"/>
    <w:uiPriority w:val="9"/>
    <w:rsid w:val="00C6611B"/>
    <w:rPr>
      <w:rFonts w:asciiTheme="majorHAnsi" w:cstheme="majorBidi" w:eastAsiaTheme="majorEastAsia" w:hAnsiTheme="majorHAnsi"/>
      <w:color w:val="00592f" w:themeColor="accent1" w:themeShade="00007F"/>
      <w:sz w:val="21"/>
      <w:lang w:eastAsia="en-US"/>
    </w:rPr>
  </w:style>
  <w:style w:type="character" w:styleId="Titre7Car" w:customStyle="1">
    <w:name w:val="Titre 7 Car"/>
    <w:basedOn w:val="Policepardfaut"/>
    <w:link w:val="Titre7"/>
    <w:uiPriority w:val="9"/>
    <w:rsid w:val="00C6611B"/>
    <w:rPr>
      <w:rFonts w:asciiTheme="majorHAnsi" w:cstheme="majorBidi" w:eastAsiaTheme="majorEastAsia" w:hAnsiTheme="majorHAnsi"/>
      <w:i w:val="1"/>
      <w:iCs w:val="1"/>
      <w:color w:val="00592f" w:themeColor="accent1" w:themeShade="00007F"/>
      <w:sz w:val="21"/>
      <w:lang w:eastAsia="en-US"/>
    </w:rPr>
  </w:style>
  <w:style w:type="character" w:styleId="Titre8Car" w:customStyle="1">
    <w:name w:val="Titre 8 Car"/>
    <w:basedOn w:val="Policepardfaut"/>
    <w:link w:val="Titre8"/>
    <w:uiPriority w:val="9"/>
    <w:rsid w:val="00C6611B"/>
    <w:rPr>
      <w:rFonts w:asciiTheme="majorHAnsi" w:cstheme="majorBidi" w:eastAsiaTheme="majorEastAsia" w:hAnsiTheme="majorHAnsi"/>
      <w:color w:val="272727" w:themeColor="text1" w:themeTint="0000D8"/>
      <w:sz w:val="21"/>
      <w:szCs w:val="21"/>
      <w:lang w:eastAsia="en-US"/>
    </w:rPr>
  </w:style>
  <w:style w:type="character" w:styleId="Titre9Car" w:customStyle="1">
    <w:name w:val="Titre 9 Car"/>
    <w:basedOn w:val="Policepardfaut"/>
    <w:link w:val="Titre9"/>
    <w:uiPriority w:val="9"/>
    <w:semiHidden w:val="1"/>
    <w:rsid w:val="00C6611B"/>
    <w:rPr>
      <w:rFonts w:asciiTheme="majorHAnsi" w:cstheme="majorBidi" w:eastAsiaTheme="majorEastAsia" w:hAnsiTheme="majorHAnsi"/>
      <w:i w:val="1"/>
      <w:iCs w:val="1"/>
      <w:color w:val="272727" w:themeColor="text1" w:themeTint="0000D8"/>
      <w:sz w:val="21"/>
      <w:szCs w:val="21"/>
      <w:lang w:eastAsia="en-US"/>
    </w:rPr>
  </w:style>
  <w:style w:type="paragraph" w:styleId="TableetIndex" w:customStyle="1">
    <w:name w:val="Table et Index"/>
    <w:basedOn w:val="Normal"/>
    <w:qFormat w:val="1"/>
    <w:rsid w:val="0090760A"/>
    <w:pPr>
      <w:spacing w:after="360" w:line="240" w:lineRule="auto"/>
      <w:jc w:val="left"/>
    </w:pPr>
    <w:rPr>
      <w:rFonts w:ascii="Arial Black" w:hAnsi="Arial Black"/>
      <w:b w:val="1"/>
      <w:bCs w:val="1"/>
      <w:caps w:val="1"/>
      <w:color w:val="006aff" w:themeColor="accent3"/>
      <w:sz w:val="28"/>
      <w:szCs w:val="28"/>
    </w:rPr>
  </w:style>
  <w:style w:type="paragraph" w:styleId="Textedebulles">
    <w:name w:val="Balloon Text"/>
    <w:basedOn w:val="Normal"/>
    <w:link w:val="TextedebullesCar"/>
    <w:uiPriority w:val="99"/>
    <w:semiHidden w:val="1"/>
    <w:unhideWhenUsed w:val="1"/>
    <w:rsid w:val="003D3B08"/>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3D3B08"/>
    <w:rPr>
      <w:rFonts w:ascii="Segoe UI" w:cs="Segoe UI" w:hAnsi="Segoe UI" w:eastAsiaTheme="minorHAnsi"/>
      <w:color w:val="000000" w:themeColor="text1"/>
      <w:sz w:val="18"/>
      <w:szCs w:val="18"/>
      <w:lang w:eastAsia="en-US"/>
    </w:rPr>
  </w:style>
  <w:style w:type="character" w:styleId="ParagraphedelisteCar" w:customStyle="1">
    <w:name w:val="Paragraphe de liste Car"/>
    <w:aliases w:val="bullet 1 Car,lp1 Car,Bullet OSM Car,MSA_EDF_Bullet3 Car,TOC style Car,AMR Paragraphe de liste 1er niveau Car,Source Car,Colorful List - Accent 11 Car,List Paragraph3 Car,List Paragraph2 Car,Bull - Bullet niveau 1 Car,Niveau1 Car"/>
    <w:basedOn w:val="Policepardfaut"/>
    <w:link w:val="Paragraphedeliste"/>
    <w:uiPriority w:val="34"/>
    <w:locked w:val="1"/>
    <w:rsid w:val="003D3B08"/>
    <w:rPr>
      <w:rFonts w:eastAsiaTheme="minorHAnsi"/>
      <w:color w:val="000000" w:themeColor="text1"/>
      <w:sz w:val="21"/>
      <w:lang w:eastAsia="en-US"/>
    </w:rPr>
  </w:style>
  <w:style w:type="table" w:styleId="TableauGrille4-Accentuation4">
    <w:name w:val="Grid Table 4 Accent 4"/>
    <w:basedOn w:val="TableauNormal"/>
    <w:uiPriority w:val="49"/>
    <w:rsid w:val="003D3B08"/>
    <w:tblPr>
      <w:tblStyleRowBandSize w:val="1"/>
      <w:tblStyleColBandSize w:val="1"/>
      <w:tblBorders>
        <w:top w:color="adaaf7" w:space="0" w:sz="4" w:themeColor="accent4" w:themeTint="000099" w:val="single"/>
        <w:left w:color="adaaf7" w:space="0" w:sz="4" w:themeColor="accent4" w:themeTint="000099" w:val="single"/>
        <w:bottom w:color="adaaf7" w:space="0" w:sz="4" w:themeColor="accent4" w:themeTint="000099" w:val="single"/>
        <w:right w:color="adaaf7" w:space="0" w:sz="4" w:themeColor="accent4" w:themeTint="000099" w:val="single"/>
        <w:insideH w:color="adaaf7" w:space="0" w:sz="4" w:themeColor="accent4" w:themeTint="000099" w:val="single"/>
        <w:insideV w:color="adaaf7" w:space="0" w:sz="4" w:themeColor="accent4" w:themeTint="000099" w:val="single"/>
      </w:tblBorders>
    </w:tblPr>
    <w:tblStylePr w:type="firstRow">
      <w:rPr>
        <w:b w:val="1"/>
        <w:bCs w:val="1"/>
        <w:color w:val="ffffff" w:themeColor="background1"/>
      </w:rPr>
      <w:tblPr/>
      <w:tcPr>
        <w:tcBorders>
          <w:top w:color="7872f3" w:space="0" w:sz="4" w:themeColor="accent4" w:val="single"/>
          <w:left w:color="7872f3" w:space="0" w:sz="4" w:themeColor="accent4" w:val="single"/>
          <w:bottom w:color="7872f3" w:space="0" w:sz="4" w:themeColor="accent4" w:val="single"/>
          <w:right w:color="7872f3" w:space="0" w:sz="4" w:themeColor="accent4" w:val="single"/>
          <w:insideH w:space="0" w:sz="0" w:val="nil"/>
          <w:insideV w:space="0" w:sz="0" w:val="nil"/>
        </w:tcBorders>
        <w:shd w:color="auto" w:fill="7872f3" w:themeFill="accent4" w:val="clear"/>
      </w:tcPr>
    </w:tblStylePr>
    <w:tblStylePr w:type="lastRow">
      <w:rPr>
        <w:b w:val="1"/>
        <w:bCs w:val="1"/>
      </w:rPr>
      <w:tblPr/>
      <w:tcPr>
        <w:tcBorders>
          <w:top w:color="7872f3" w:space="0" w:sz="4" w:themeColor="accent4" w:val="double"/>
        </w:tcBorders>
      </w:tcPr>
    </w:tblStylePr>
    <w:tblStylePr w:type="firstCol">
      <w:rPr>
        <w:b w:val="1"/>
        <w:bCs w:val="1"/>
      </w:rPr>
    </w:tblStylePr>
    <w:tblStylePr w:type="lastCol">
      <w:rPr>
        <w:b w:val="1"/>
        <w:bCs w:val="1"/>
      </w:rPr>
    </w:tblStylePr>
    <w:tblStylePr w:type="band1Vert">
      <w:tblPr/>
      <w:tcPr>
        <w:shd w:color="auto" w:fill="e3e2fc" w:themeFill="accent4" w:themeFillTint="000033" w:val="clear"/>
      </w:tcPr>
    </w:tblStylePr>
    <w:tblStylePr w:type="band1Horz">
      <w:tblPr/>
      <w:tcPr>
        <w:shd w:color="auto" w:fill="e3e2fc" w:themeFill="accent4" w:themeFillTint="000033" w:val="clear"/>
      </w:tcPr>
    </w:tblStylePr>
  </w:style>
  <w:style w:type="character" w:styleId="normaltextrun" w:customStyle="1">
    <w:name w:val="normaltextrun"/>
    <w:basedOn w:val="Policepardfaut"/>
    <w:rsid w:val="003D3B08"/>
  </w:style>
  <w:style w:type="paragraph" w:styleId="Corps" w:customStyle="1">
    <w:name w:val="Corps"/>
    <w:rsid w:val="00FD0F57"/>
    <w:pPr>
      <w:pBdr>
        <w:top w:space="0" w:sz="0" w:val="nil"/>
        <w:left w:space="0" w:sz="0" w:val="nil"/>
        <w:bottom w:space="0" w:sz="0" w:val="nil"/>
        <w:right w:space="0" w:sz="0" w:val="nil"/>
        <w:between w:space="0" w:sz="0" w:val="nil"/>
        <w:bar w:space="0" w:sz="0" w:val="nil"/>
      </w:pBdr>
    </w:pPr>
    <w:rPr>
      <w:rFonts w:ascii="Times New Roman" w:cs="Arial Unicode MS" w:eastAsia="Arial Unicode MS" w:hAnsi="Times New Roman"/>
      <w:color w:val="000000"/>
      <w:u w:color="000000"/>
      <w:bdr w:space="0" w:sz="0" w:val="nil"/>
      <w:lang w:eastAsia="fr-FR"/>
    </w:rPr>
  </w:style>
  <w:style w:type="character" w:styleId="Marquedecommentaire">
    <w:name w:val="annotation reference"/>
    <w:basedOn w:val="Policepardfaut"/>
    <w:uiPriority w:val="99"/>
    <w:semiHidden w:val="1"/>
    <w:unhideWhenUsed w:val="1"/>
    <w:rsid w:val="00FD0F57"/>
    <w:rPr>
      <w:sz w:val="16"/>
      <w:szCs w:val="16"/>
    </w:rPr>
  </w:style>
  <w:style w:type="paragraph" w:styleId="Commentaire">
    <w:name w:val="annotation text"/>
    <w:basedOn w:val="Normal"/>
    <w:link w:val="CommentaireCar"/>
    <w:uiPriority w:val="99"/>
    <w:unhideWhenUsed w:val="1"/>
    <w:rsid w:val="00FD0F57"/>
    <w:pPr>
      <w:spacing w:line="240" w:lineRule="auto"/>
    </w:pPr>
    <w:rPr>
      <w:sz w:val="20"/>
      <w:szCs w:val="20"/>
    </w:rPr>
  </w:style>
  <w:style w:type="character" w:styleId="CommentaireCar" w:customStyle="1">
    <w:name w:val="Commentaire Car"/>
    <w:basedOn w:val="Policepardfaut"/>
    <w:link w:val="Commentaire"/>
    <w:uiPriority w:val="99"/>
    <w:rsid w:val="00FD0F57"/>
    <w:rPr>
      <w:rFonts w:eastAsiaTheme="minorHAnsi"/>
      <w:color w:val="000000" w:themeColor="text1"/>
      <w:sz w:val="20"/>
      <w:szCs w:val="20"/>
      <w:lang w:eastAsia="en-US"/>
    </w:rPr>
  </w:style>
  <w:style w:type="paragraph" w:styleId="Titre30" w:customStyle="1">
    <w:name w:val="Titre3"/>
    <w:basedOn w:val="Titre3"/>
    <w:link w:val="Titre3Car0"/>
    <w:qFormat w:val="1"/>
    <w:rsid w:val="0036719E"/>
    <w:pPr>
      <w:numPr>
        <w:ilvl w:val="0"/>
        <w:numId w:val="0"/>
      </w:numPr>
    </w:pPr>
  </w:style>
  <w:style w:type="character" w:styleId="Titre3Car0" w:customStyle="1">
    <w:name w:val="Titre3 Car"/>
    <w:basedOn w:val="Titre3Car"/>
    <w:link w:val="Titre30"/>
    <w:rsid w:val="0036719E"/>
    <w:rPr>
      <w:rFonts w:eastAsiaTheme="minorHAnsi"/>
      <w:b w:val="1"/>
      <w:bCs w:val="1"/>
      <w:i w:val="1"/>
      <w:iCs w:val="1"/>
      <w:color w:val="000000" w:themeColor="text1"/>
      <w:sz w:val="28"/>
      <w:szCs w:val="28"/>
      <w:lang w:eastAsia="en-US" w:val="en-GB"/>
    </w:rPr>
  </w:style>
  <w:style w:type="paragraph" w:styleId="Titre20" w:customStyle="1">
    <w:name w:val="Titre2"/>
    <w:basedOn w:val="Titre2"/>
    <w:link w:val="Titre2Car0"/>
    <w:qFormat w:val="1"/>
    <w:rsid w:val="00477FD2"/>
    <w:pPr>
      <w:ind w:left="360" w:hanging="360"/>
    </w:pPr>
    <w:rPr>
      <w:szCs w:val="48"/>
    </w:rPr>
  </w:style>
  <w:style w:type="character" w:styleId="Titre2Car0" w:customStyle="1">
    <w:name w:val="Titre2 Car"/>
    <w:basedOn w:val="Titre2Car"/>
    <w:link w:val="Titre20"/>
    <w:rsid w:val="00477FD2"/>
    <w:rPr>
      <w:rFonts w:ascii="Arial Black" w:hAnsi="Arial Black" w:eastAsiaTheme="minorHAnsi"/>
      <w:b w:val="1"/>
      <w:bCs w:val="1"/>
      <w:caps w:val="1"/>
      <w:color w:val="000000" w:themeColor="text1"/>
      <w:spacing w:val="20"/>
      <w:sz w:val="28"/>
      <w:szCs w:val="48"/>
      <w:lang w:eastAsia="en-US"/>
    </w:rPr>
  </w:style>
  <w:style w:type="paragraph" w:styleId="P24-CdT" w:customStyle="1">
    <w:name w:val="P24 - CdT"/>
    <w:qFormat w:val="1"/>
    <w:rsid w:val="00023D0C"/>
    <w:pPr>
      <w:jc w:val="both"/>
    </w:pPr>
    <w:rPr>
      <w:rFonts w:eastAsiaTheme="minorHAnsi"/>
      <w:sz w:val="21"/>
      <w:lang w:eastAsia="fr-FR"/>
    </w:rPr>
  </w:style>
  <w:style w:type="paragraph" w:styleId="P24-CdTTitre" w:customStyle="1">
    <w:name w:val="P24 - CdT Titre"/>
    <w:next w:val="P24-CdT"/>
    <w:qFormat w:val="1"/>
    <w:rsid w:val="00023D0C"/>
    <w:pPr>
      <w:spacing w:after="240"/>
    </w:pPr>
    <w:rPr>
      <w:rFonts w:eastAsiaTheme="minorHAnsi"/>
      <w:b w:val="1"/>
      <w:noProof w:val="1"/>
      <w:color w:val="404040" w:themeColor="text1" w:themeTint="0000BF"/>
      <w:lang w:eastAsia="fr-FR"/>
    </w:rPr>
  </w:style>
  <w:style w:type="character" w:styleId="Appelnotedebasdep">
    <w:name w:val="footnote reference"/>
    <w:basedOn w:val="Policepardfaut"/>
    <w:uiPriority w:val="99"/>
    <w:semiHidden w:val="1"/>
    <w:unhideWhenUsed w:val="1"/>
    <w:rsid w:val="00023D0C"/>
    <w:rPr>
      <w:vertAlign w:val="superscript"/>
    </w:rPr>
  </w:style>
  <w:style w:type="paragraph" w:styleId="09BodytextBullets" w:customStyle="1">
    <w:name w:val="09 Bodytext Bullets"/>
    <w:qFormat w:val="1"/>
    <w:rsid w:val="00023D0C"/>
    <w:pPr>
      <w:numPr>
        <w:numId w:val="16"/>
      </w:numPr>
      <w:spacing w:line="288" w:lineRule="auto"/>
    </w:pPr>
    <w:rPr>
      <w:rFonts w:ascii="Ubuntu" w:hAnsi="Ubuntu" w:eastAsiaTheme="minorHAnsi"/>
      <w:sz w:val="20"/>
      <w:szCs w:val="20"/>
      <w:lang w:eastAsia="en-GB" w:val="en-GB"/>
    </w:rPr>
  </w:style>
  <w:style w:type="paragraph" w:styleId="04BodytextBlock" w:customStyle="1">
    <w:name w:val="04 Bodytext Block"/>
    <w:qFormat w:val="1"/>
    <w:rsid w:val="00023D0C"/>
    <w:pPr>
      <w:spacing w:before="240" w:line="288" w:lineRule="auto"/>
    </w:pPr>
    <w:rPr>
      <w:rFonts w:ascii="Ubuntu" w:hAnsi="Ubuntu" w:eastAsiaTheme="minorHAnsi"/>
      <w:sz w:val="20"/>
      <w:szCs w:val="22"/>
      <w:lang w:eastAsia="en-GB" w:val="en-GB"/>
    </w:rPr>
  </w:style>
  <w:style w:type="paragraph" w:styleId="Objetducommentaire">
    <w:name w:val="annotation subject"/>
    <w:basedOn w:val="Commentaire"/>
    <w:next w:val="Commentaire"/>
    <w:link w:val="ObjetducommentaireCar"/>
    <w:uiPriority w:val="99"/>
    <w:semiHidden w:val="1"/>
    <w:unhideWhenUsed w:val="1"/>
    <w:rsid w:val="00023D0C"/>
    <w:rPr>
      <w:b w:val="1"/>
      <w:bCs w:val="1"/>
    </w:rPr>
  </w:style>
  <w:style w:type="character" w:styleId="ObjetducommentaireCar" w:customStyle="1">
    <w:name w:val="Objet du commentaire Car"/>
    <w:basedOn w:val="CommentaireCar"/>
    <w:link w:val="Objetducommentaire"/>
    <w:uiPriority w:val="99"/>
    <w:semiHidden w:val="1"/>
    <w:rsid w:val="00023D0C"/>
    <w:rPr>
      <w:rFonts w:eastAsiaTheme="minorHAnsi"/>
      <w:b w:val="1"/>
      <w:bCs w:val="1"/>
      <w:color w:val="000000" w:themeColor="text1"/>
      <w:sz w:val="20"/>
      <w:szCs w:val="20"/>
      <w:lang w:eastAsia="en-US"/>
    </w:rPr>
  </w:style>
  <w:style w:type="table" w:styleId="TableauGrille1Clair-Accentuation1">
    <w:name w:val="Grid Table 1 Light Accent 1"/>
    <w:basedOn w:val="TableauNormal"/>
    <w:uiPriority w:val="46"/>
    <w:rsid w:val="00023D0C"/>
    <w:rPr>
      <w:rFonts w:eastAsiaTheme="minorHAnsi"/>
      <w:lang w:eastAsia="en-US"/>
    </w:rPr>
    <w:tblPr>
      <w:tblStyleRowBandSize w:val="1"/>
      <w:tblStyleColBandSize w:val="1"/>
      <w:tblBorders>
        <w:top w:color="7affc0" w:space="0" w:sz="4" w:themeColor="accent1" w:themeTint="000066" w:val="single"/>
        <w:left w:color="7affc0" w:space="0" w:sz="4" w:themeColor="accent1" w:themeTint="000066" w:val="single"/>
        <w:bottom w:color="7affc0" w:space="0" w:sz="4" w:themeColor="accent1" w:themeTint="000066" w:val="single"/>
        <w:right w:color="7affc0" w:space="0" w:sz="4" w:themeColor="accent1" w:themeTint="000066" w:val="single"/>
        <w:insideH w:color="7affc0" w:space="0" w:sz="4" w:themeColor="accent1" w:themeTint="000066" w:val="single"/>
        <w:insideV w:color="7affc0" w:space="0" w:sz="4" w:themeColor="accent1" w:themeTint="000066" w:val="single"/>
      </w:tblBorders>
    </w:tblPr>
    <w:tblStylePr w:type="firstRow">
      <w:rPr>
        <w:b w:val="1"/>
        <w:bCs w:val="1"/>
      </w:rPr>
      <w:tblPr/>
      <w:tcPr>
        <w:tcBorders>
          <w:bottom w:color="38ffa1" w:space="0" w:sz="12" w:themeColor="accent1" w:themeTint="000099" w:val="single"/>
        </w:tcBorders>
      </w:tcPr>
    </w:tblStylePr>
    <w:tblStylePr w:type="lastRow">
      <w:rPr>
        <w:b w:val="1"/>
        <w:bCs w:val="1"/>
      </w:rPr>
      <w:tblPr/>
      <w:tcPr>
        <w:tcBorders>
          <w:top w:color="38ffa1" w:space="0" w:sz="2" w:themeColor="accent1" w:themeTint="000099" w:val="double"/>
        </w:tcBorders>
      </w:tcPr>
    </w:tblStylePr>
    <w:tblStylePr w:type="firstCol">
      <w:rPr>
        <w:b w:val="1"/>
        <w:bCs w:val="1"/>
      </w:rPr>
    </w:tblStylePr>
    <w:tblStylePr w:type="lastCol">
      <w:rPr>
        <w:b w:val="1"/>
        <w:bCs w:val="1"/>
      </w:rPr>
    </w:tblStylePr>
  </w:style>
  <w:style w:type="table" w:styleId="TableauGrille4-Accentuation3">
    <w:name w:val="Grid Table 4 Accent 3"/>
    <w:basedOn w:val="TableauNormal"/>
    <w:uiPriority w:val="49"/>
    <w:rsid w:val="00023D0C"/>
    <w:tblPr>
      <w:tblStyleRowBandSize w:val="1"/>
      <w:tblStyleColBandSize w:val="1"/>
      <w:tblBorders>
        <w:top w:color="66a5ff" w:space="0" w:sz="4" w:themeColor="accent3" w:themeTint="000099" w:val="single"/>
        <w:left w:color="66a5ff" w:space="0" w:sz="4" w:themeColor="accent3" w:themeTint="000099" w:val="single"/>
        <w:bottom w:color="66a5ff" w:space="0" w:sz="4" w:themeColor="accent3" w:themeTint="000099" w:val="single"/>
        <w:right w:color="66a5ff" w:space="0" w:sz="4" w:themeColor="accent3" w:themeTint="000099" w:val="single"/>
        <w:insideH w:color="66a5ff" w:space="0" w:sz="4" w:themeColor="accent3" w:themeTint="000099" w:val="single"/>
        <w:insideV w:color="66a5ff" w:space="0" w:sz="4" w:themeColor="accent3" w:themeTint="000099" w:val="single"/>
      </w:tblBorders>
    </w:tblPr>
    <w:tblStylePr w:type="firstRow">
      <w:rPr>
        <w:b w:val="1"/>
        <w:bCs w:val="1"/>
        <w:color w:val="ffffff" w:themeColor="background1"/>
      </w:rPr>
      <w:tblPr/>
      <w:tcPr>
        <w:tcBorders>
          <w:top w:color="006aff" w:space="0" w:sz="4" w:themeColor="accent3" w:val="single"/>
          <w:left w:color="006aff" w:space="0" w:sz="4" w:themeColor="accent3" w:val="single"/>
          <w:bottom w:color="006aff" w:space="0" w:sz="4" w:themeColor="accent3" w:val="single"/>
          <w:right w:color="006aff" w:space="0" w:sz="4" w:themeColor="accent3" w:val="single"/>
          <w:insideH w:space="0" w:sz="0" w:val="nil"/>
          <w:insideV w:space="0" w:sz="0" w:val="nil"/>
        </w:tcBorders>
        <w:shd w:color="auto" w:fill="006aff" w:themeFill="accent3" w:val="clear"/>
      </w:tcPr>
    </w:tblStylePr>
    <w:tblStylePr w:type="lastRow">
      <w:rPr>
        <w:b w:val="1"/>
        <w:bCs w:val="1"/>
      </w:rPr>
      <w:tblPr/>
      <w:tcPr>
        <w:tcBorders>
          <w:top w:color="006aff" w:space="0" w:sz="4" w:themeColor="accent3" w:val="double"/>
        </w:tcBorders>
      </w:tcPr>
    </w:tblStylePr>
    <w:tblStylePr w:type="firstCol">
      <w:rPr>
        <w:b w:val="1"/>
        <w:bCs w:val="1"/>
      </w:rPr>
    </w:tblStylePr>
    <w:tblStylePr w:type="lastCol">
      <w:rPr>
        <w:b w:val="1"/>
        <w:bCs w:val="1"/>
      </w:rPr>
    </w:tblStylePr>
    <w:tblStylePr w:type="band1Vert">
      <w:tblPr/>
      <w:tcPr>
        <w:shd w:color="auto" w:fill="cce1ff" w:themeFill="accent3" w:themeFillTint="000033" w:val="clear"/>
      </w:tcPr>
    </w:tblStylePr>
    <w:tblStylePr w:type="band1Horz">
      <w:tblPr/>
      <w:tcPr>
        <w:shd w:color="auto" w:fill="cce1ff" w:themeFill="accent3" w:themeFillTint="000033" w:val="clear"/>
      </w:tcPr>
    </w:tblStylePr>
  </w:style>
  <w:style w:type="table" w:styleId="TableauListe3-Accentuation4">
    <w:name w:val="List Table 3 Accent 4"/>
    <w:basedOn w:val="TableauNormal"/>
    <w:uiPriority w:val="48"/>
    <w:rsid w:val="00023D0C"/>
    <w:tblPr>
      <w:tblStyleRowBandSize w:val="1"/>
      <w:tblStyleColBandSize w:val="1"/>
      <w:tblBorders>
        <w:top w:color="7872f3" w:space="0" w:sz="4" w:themeColor="accent4" w:val="single"/>
        <w:left w:color="7872f3" w:space="0" w:sz="4" w:themeColor="accent4" w:val="single"/>
        <w:bottom w:color="7872f3" w:space="0" w:sz="4" w:themeColor="accent4" w:val="single"/>
        <w:right w:color="7872f3" w:space="0" w:sz="4" w:themeColor="accent4" w:val="single"/>
      </w:tblBorders>
    </w:tblPr>
    <w:tblStylePr w:type="firstRow">
      <w:rPr>
        <w:b w:val="1"/>
        <w:bCs w:val="1"/>
        <w:color w:val="ffffff" w:themeColor="background1"/>
      </w:rPr>
      <w:tblPr/>
      <w:tcPr>
        <w:shd w:color="auto" w:fill="7872f3" w:themeFill="accent4" w:val="clear"/>
      </w:tcPr>
    </w:tblStylePr>
    <w:tblStylePr w:type="lastRow">
      <w:rPr>
        <w:b w:val="1"/>
        <w:bCs w:val="1"/>
      </w:rPr>
      <w:tblPr/>
      <w:tcPr>
        <w:tcBorders>
          <w:top w:color="7872f3"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7872f3" w:space="0" w:sz="4" w:themeColor="accent4" w:val="single"/>
          <w:right w:color="7872f3" w:space="0" w:sz="4" w:themeColor="accent4" w:val="single"/>
        </w:tcBorders>
      </w:tcPr>
    </w:tblStylePr>
    <w:tblStylePr w:type="band1Horz">
      <w:tblPr/>
      <w:tcPr>
        <w:tcBorders>
          <w:top w:color="7872f3" w:space="0" w:sz="4" w:themeColor="accent4" w:val="single"/>
          <w:bottom w:color="7872f3"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7872f3" w:space="0" w:sz="4" w:themeColor="accent4" w:val="double"/>
          <w:left w:space="0" w:sz="0" w:val="nil"/>
        </w:tcBorders>
      </w:tcPr>
    </w:tblStylePr>
    <w:tblStylePr w:type="swCell">
      <w:tblPr/>
      <w:tcPr>
        <w:tcBorders>
          <w:top w:color="7872f3" w:space="0" w:sz="4" w:themeColor="accent4" w:val="double"/>
          <w:right w:space="0" w:sz="0" w:val="nil"/>
        </w:tcBorders>
      </w:tcPr>
    </w:tblStylePr>
  </w:style>
  <w:style w:type="paragraph" w:styleId="Default" w:customStyle="1">
    <w:name w:val="Default"/>
    <w:rsid w:val="00023D0C"/>
    <w:pPr>
      <w:autoSpaceDE w:val="0"/>
      <w:autoSpaceDN w:val="0"/>
      <w:adjustRightInd w:val="0"/>
    </w:pPr>
    <w:rPr>
      <w:rFonts w:ascii="Arial" w:cs="Arial" w:hAnsi="Arial" w:eastAsiaTheme="minorHAnsi"/>
      <w:color w:val="000000"/>
      <w:lang w:eastAsia="en-US"/>
    </w:rPr>
  </w:style>
  <w:style w:type="numbering" w:styleId="Style1import" w:customStyle="1">
    <w:name w:val="Style 1 importé"/>
    <w:rsid w:val="00023D0C"/>
    <w:pPr>
      <w:numPr>
        <w:numId w:val="17"/>
      </w:numPr>
    </w:pPr>
  </w:style>
  <w:style w:type="numbering" w:styleId="Style2import" w:customStyle="1">
    <w:name w:val="Style 2 importé"/>
    <w:rsid w:val="00023D0C"/>
    <w:pPr>
      <w:numPr>
        <w:numId w:val="18"/>
      </w:numPr>
    </w:pPr>
  </w:style>
  <w:style w:type="paragraph" w:styleId="Notedebasdepage">
    <w:name w:val="footnote text"/>
    <w:basedOn w:val="Normal"/>
    <w:link w:val="NotedebasdepageCar"/>
    <w:unhideWhenUsed w:val="1"/>
    <w:rsid w:val="00023D0C"/>
    <w:pPr>
      <w:spacing w:after="0" w:line="240" w:lineRule="auto"/>
      <w:jc w:val="left"/>
    </w:pPr>
    <w:rPr>
      <w:color w:val="404040" w:themeColor="text1" w:themeTint="0000BF"/>
      <w:sz w:val="20"/>
      <w:szCs w:val="20"/>
    </w:rPr>
  </w:style>
  <w:style w:type="character" w:styleId="NotedebasdepageCar" w:customStyle="1">
    <w:name w:val="Note de bas de page Car"/>
    <w:basedOn w:val="Policepardfaut"/>
    <w:link w:val="Notedebasdepage"/>
    <w:rsid w:val="00023D0C"/>
    <w:rPr>
      <w:rFonts w:eastAsiaTheme="minorHAnsi"/>
      <w:color w:val="404040" w:themeColor="text1" w:themeTint="0000BF"/>
      <w:sz w:val="20"/>
      <w:szCs w:val="20"/>
      <w:lang w:eastAsia="en-US"/>
    </w:rPr>
  </w:style>
  <w:style w:type="character" w:styleId="Hyperlink0" w:customStyle="1">
    <w:name w:val="Hyperlink.0"/>
    <w:basedOn w:val="Policepardfaut"/>
    <w:rsid w:val="00023D0C"/>
    <w:rPr>
      <w:color w:val="0000ff"/>
      <w:sz w:val="16"/>
      <w:szCs w:val="16"/>
      <w:u w:color="0000ff" w:val="single"/>
    </w:rPr>
  </w:style>
  <w:style w:type="paragraph" w:styleId="ListBullet1" w:customStyle="1">
    <w:name w:val="List Bullet 1"/>
    <w:basedOn w:val="Normal"/>
    <w:qFormat w:val="1"/>
    <w:rsid w:val="00023D0C"/>
    <w:pPr>
      <w:spacing w:after="40" w:line="276" w:lineRule="auto"/>
      <w:jc w:val="left"/>
    </w:pPr>
    <w:rPr>
      <w:rFonts w:ascii="Arial" w:cs="Times New Roman" w:eastAsia="Calibri" w:hAnsi="Arial"/>
      <w:color w:val="auto"/>
      <w:sz w:val="18"/>
      <w:szCs w:val="22"/>
      <w:lang w:eastAsia="en-GB"/>
    </w:rPr>
  </w:style>
  <w:style w:type="paragraph" w:styleId="NormalIndent2" w:customStyle="1">
    <w:name w:val="Normal Indent 2"/>
    <w:basedOn w:val="Retraitnormal"/>
    <w:next w:val="Normal"/>
    <w:rsid w:val="00023D0C"/>
    <w:pPr>
      <w:spacing w:after="180" w:line="276" w:lineRule="auto"/>
      <w:ind w:left="680"/>
      <w:jc w:val="left"/>
    </w:pPr>
    <w:rPr>
      <w:rFonts w:ascii="Arial" w:cs="Arial" w:eastAsia="Calibri" w:hAnsi="Arial"/>
      <w:color w:val="auto"/>
      <w:sz w:val="18"/>
      <w:szCs w:val="22"/>
      <w:lang w:eastAsia="en-GB"/>
    </w:rPr>
  </w:style>
  <w:style w:type="paragraph" w:styleId="Retraitnormal">
    <w:name w:val="Normal Indent"/>
    <w:basedOn w:val="Normal"/>
    <w:uiPriority w:val="99"/>
    <w:semiHidden w:val="1"/>
    <w:unhideWhenUsed w:val="1"/>
    <w:rsid w:val="00023D0C"/>
    <w:pPr>
      <w:ind w:left="708"/>
    </w:pPr>
  </w:style>
  <w:style w:type="paragraph" w:styleId="Corpsdetexte">
    <w:name w:val="Body Text"/>
    <w:basedOn w:val="Normal"/>
    <w:link w:val="CorpsdetexteCar"/>
    <w:uiPriority w:val="99"/>
    <w:unhideWhenUsed w:val="1"/>
    <w:qFormat w:val="1"/>
    <w:rsid w:val="00023D0C"/>
    <w:pPr>
      <w:spacing w:after="180" w:line="260" w:lineRule="exact"/>
      <w:jc w:val="left"/>
    </w:pPr>
    <w:rPr>
      <w:color w:val="auto"/>
      <w:sz w:val="17"/>
      <w:szCs w:val="21"/>
    </w:rPr>
  </w:style>
  <w:style w:type="character" w:styleId="CorpsdetexteCar" w:customStyle="1">
    <w:name w:val="Corps de texte Car"/>
    <w:basedOn w:val="Policepardfaut"/>
    <w:link w:val="Corpsdetexte"/>
    <w:uiPriority w:val="99"/>
    <w:rsid w:val="00023D0C"/>
    <w:rPr>
      <w:rFonts w:eastAsiaTheme="minorHAnsi"/>
      <w:sz w:val="17"/>
      <w:szCs w:val="21"/>
      <w:lang w:eastAsia="en-US"/>
    </w:rPr>
  </w:style>
  <w:style w:type="character" w:styleId="lev">
    <w:name w:val="Strong"/>
    <w:basedOn w:val="Policepardfaut"/>
    <w:uiPriority w:val="22"/>
    <w:qFormat w:val="1"/>
    <w:rsid w:val="00023D0C"/>
    <w:rPr>
      <w:b w:val="1"/>
      <w:bCs w:val="1"/>
    </w:rPr>
  </w:style>
  <w:style w:type="paragraph" w:styleId="Rvision">
    <w:name w:val="Revision"/>
    <w:hidden w:val="1"/>
    <w:uiPriority w:val="99"/>
    <w:semiHidden w:val="1"/>
    <w:rsid w:val="00023D0C"/>
    <w:rPr>
      <w:rFonts w:eastAsiaTheme="minorHAnsi"/>
      <w:color w:val="000000" w:themeColor="text1"/>
      <w:sz w:val="21"/>
      <w:lang w:eastAsia="en-US"/>
    </w:rPr>
  </w:style>
  <w:style w:type="character" w:styleId="Mentionnonrsolue">
    <w:name w:val="Unresolved Mention"/>
    <w:basedOn w:val="Policepardfaut"/>
    <w:uiPriority w:val="99"/>
    <w:rsid w:val="00023D0C"/>
    <w:rPr>
      <w:color w:val="605e5c"/>
      <w:shd w:color="auto" w:fill="e1dfdd" w:val="clear"/>
    </w:rPr>
  </w:style>
  <w:style w:type="paragraph" w:styleId="paragraph" w:customStyle="1">
    <w:name w:val="paragraph"/>
    <w:basedOn w:val="Normal"/>
    <w:rsid w:val="00023D0C"/>
    <w:pPr>
      <w:spacing w:after="100" w:afterAutospacing="1" w:before="100" w:beforeAutospacing="1" w:line="240" w:lineRule="auto"/>
      <w:jc w:val="left"/>
    </w:pPr>
    <w:rPr>
      <w:rFonts w:ascii="Calibri" w:cs="Calibri" w:hAnsi="Calibri"/>
      <w:color w:val="auto"/>
      <w:sz w:val="22"/>
      <w:szCs w:val="22"/>
      <w:lang w:eastAsia="fr-FR"/>
    </w:rPr>
  </w:style>
  <w:style w:type="character" w:styleId="eop" w:customStyle="1">
    <w:name w:val="eop"/>
    <w:basedOn w:val="Policepardfaut"/>
    <w:rsid w:val="00023D0C"/>
  </w:style>
  <w:style w:type="character" w:styleId="spellingerror" w:customStyle="1">
    <w:name w:val="spellingerror"/>
    <w:basedOn w:val="Policepardfaut"/>
    <w:rsid w:val="00023D0C"/>
  </w:style>
  <w:style w:type="character" w:styleId="findhit" w:customStyle="1">
    <w:name w:val="findhit"/>
    <w:basedOn w:val="Policepardfaut"/>
    <w:rsid w:val="00023D0C"/>
  </w:style>
  <w:style w:type="paragraph" w:styleId="NormalWeb">
    <w:name w:val="Normal (Web)"/>
    <w:basedOn w:val="Normal"/>
    <w:uiPriority w:val="99"/>
    <w:unhideWhenUsed w:val="1"/>
    <w:rsid w:val="00023D0C"/>
    <w:pPr>
      <w:spacing w:after="100" w:afterAutospacing="1" w:before="100" w:beforeAutospacing="1" w:line="240" w:lineRule="auto"/>
      <w:jc w:val="left"/>
    </w:pPr>
    <w:rPr>
      <w:rFonts w:ascii="Times New Roman" w:cs="Times New Roman" w:eastAsia="Times New Roman" w:hAnsi="Times New Roman"/>
      <w:color w:val="auto"/>
      <w:sz w:val="24"/>
      <w:lang w:eastAsia="fr-FR"/>
    </w:rPr>
  </w:style>
  <w:style w:type="character" w:styleId="contextualspellingandgrammarerror" w:customStyle="1">
    <w:name w:val="contextualspellingandgrammarerror"/>
    <w:basedOn w:val="Policepardfaut"/>
    <w:rsid w:val="00023D0C"/>
  </w:style>
  <w:style w:type="table" w:styleId="TableauGrille4-Accentuation5">
    <w:name w:val="Grid Table 4 Accent 5"/>
    <w:basedOn w:val="TableauNormal"/>
    <w:uiPriority w:val="49"/>
    <w:rsid w:val="008213A1"/>
    <w:tblPr>
      <w:tblStyleRowBandSize w:val="1"/>
      <w:tblStyleColBandSize w:val="1"/>
      <w:tblBorders>
        <w:top w:color="ff668d" w:space="0" w:sz="4" w:themeColor="accent5" w:themeTint="000099" w:val="single"/>
        <w:left w:color="ff668d" w:space="0" w:sz="4" w:themeColor="accent5" w:themeTint="000099" w:val="single"/>
        <w:bottom w:color="ff668d" w:space="0" w:sz="4" w:themeColor="accent5" w:themeTint="000099" w:val="single"/>
        <w:right w:color="ff668d" w:space="0" w:sz="4" w:themeColor="accent5" w:themeTint="000099" w:val="single"/>
        <w:insideH w:color="ff668d" w:space="0" w:sz="4" w:themeColor="accent5" w:themeTint="000099" w:val="single"/>
        <w:insideV w:color="ff668d" w:space="0" w:sz="4" w:themeColor="accent5" w:themeTint="000099" w:val="single"/>
      </w:tblBorders>
    </w:tblPr>
    <w:tblStylePr w:type="firstRow">
      <w:rPr>
        <w:b w:val="1"/>
        <w:bCs w:val="1"/>
        <w:color w:val="ffffff" w:themeColor="background1"/>
      </w:rPr>
      <w:tblPr/>
      <w:tcPr>
        <w:tcBorders>
          <w:top w:color="ff0042" w:space="0" w:sz="4" w:themeColor="accent5" w:val="single"/>
          <w:left w:color="ff0042" w:space="0" w:sz="4" w:themeColor="accent5" w:val="single"/>
          <w:bottom w:color="ff0042" w:space="0" w:sz="4" w:themeColor="accent5" w:val="single"/>
          <w:right w:color="ff0042" w:space="0" w:sz="4" w:themeColor="accent5" w:val="single"/>
          <w:insideH w:space="0" w:sz="0" w:val="nil"/>
          <w:insideV w:space="0" w:sz="0" w:val="nil"/>
        </w:tcBorders>
        <w:shd w:color="auto" w:fill="ff0042" w:themeFill="accent5" w:val="clear"/>
      </w:tcPr>
    </w:tblStylePr>
    <w:tblStylePr w:type="lastRow">
      <w:rPr>
        <w:b w:val="1"/>
        <w:bCs w:val="1"/>
      </w:rPr>
      <w:tblPr/>
      <w:tcPr>
        <w:tcBorders>
          <w:top w:color="ff0042" w:space="0" w:sz="4" w:themeColor="accent5" w:val="double"/>
        </w:tcBorders>
      </w:tcPr>
    </w:tblStylePr>
    <w:tblStylePr w:type="firstCol">
      <w:rPr>
        <w:b w:val="1"/>
        <w:bCs w:val="1"/>
      </w:rPr>
    </w:tblStylePr>
    <w:tblStylePr w:type="lastCol">
      <w:rPr>
        <w:b w:val="1"/>
        <w:bCs w:val="1"/>
      </w:rPr>
    </w:tblStylePr>
    <w:tblStylePr w:type="band1Vert">
      <w:tblPr/>
      <w:tcPr>
        <w:shd w:color="auto" w:fill="ffccd9" w:themeFill="accent5" w:themeFillTint="000033" w:val="clear"/>
      </w:tcPr>
    </w:tblStylePr>
    <w:tblStylePr w:type="band1Horz">
      <w:tblPr/>
      <w:tcPr>
        <w:shd w:color="auto" w:fill="ffccd9" w:themeFill="accent5" w:themeFillTint="000033" w:val="clear"/>
      </w:tcPr>
    </w:tblStylePr>
  </w:style>
  <w:style w:type="table" w:styleId="TableauGrille4">
    <w:name w:val="Grid Table 4"/>
    <w:basedOn w:val="TableauNormal"/>
    <w:uiPriority w:val="49"/>
    <w:rsid w:val="008213A1"/>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insideV w:space="0" w:sz="0" w:val="nil"/>
        </w:tcBorders>
        <w:shd w:color="auto" w:fill="000000" w:themeFill="text1" w:val="clear"/>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TableauListe4-Accentuation6">
    <w:name w:val="List Table 4 Accent 6"/>
    <w:basedOn w:val="TableauNormal"/>
    <w:uiPriority w:val="49"/>
    <w:rsid w:val="00113D39"/>
    <w:rPr>
      <w:rFonts w:eastAsiaTheme="minorHAnsi"/>
      <w:sz w:val="22"/>
      <w:szCs w:val="22"/>
      <w:lang w:eastAsia="en-US" w:val="en-GB"/>
    </w:rPr>
    <w:tblPr>
      <w:tblStyleRowBandSize w:val="1"/>
      <w:tblStyleColBandSize w:val="1"/>
      <w:tblBorders>
        <w:top w:color="ff9999" w:space="0" w:sz="4" w:themeColor="accent6" w:themeTint="000099" w:val="single"/>
        <w:left w:color="ff9999" w:space="0" w:sz="4" w:themeColor="accent6" w:themeTint="000099" w:val="single"/>
        <w:bottom w:color="ff9999" w:space="0" w:sz="4" w:themeColor="accent6" w:themeTint="000099" w:val="single"/>
        <w:right w:color="ff9999" w:space="0" w:sz="4" w:themeColor="accent6" w:themeTint="000099" w:val="single"/>
        <w:insideH w:color="ff9999" w:space="0" w:sz="4" w:themeColor="accent6" w:themeTint="000099" w:val="single"/>
      </w:tblBorders>
    </w:tblPr>
    <w:tblStylePr w:type="firstRow">
      <w:rPr>
        <w:b w:val="1"/>
        <w:bCs w:val="1"/>
        <w:color w:val="ffffff" w:themeColor="background1"/>
      </w:rPr>
      <w:tblPr/>
      <w:tcPr>
        <w:tcBorders>
          <w:top w:color="ff5756" w:space="0" w:sz="4" w:themeColor="accent6" w:val="single"/>
          <w:left w:color="ff5756" w:space="0" w:sz="4" w:themeColor="accent6" w:val="single"/>
          <w:bottom w:color="ff5756" w:space="0" w:sz="4" w:themeColor="accent6" w:val="single"/>
          <w:right w:color="ff5756" w:space="0" w:sz="4" w:themeColor="accent6" w:val="single"/>
          <w:insideH w:space="0" w:sz="0" w:val="nil"/>
        </w:tcBorders>
        <w:shd w:color="auto" w:fill="ff5756" w:themeFill="accent6" w:val="clear"/>
      </w:tcPr>
    </w:tblStylePr>
    <w:tblStylePr w:type="lastRow">
      <w:rPr>
        <w:b w:val="1"/>
        <w:bCs w:val="1"/>
      </w:rPr>
      <w:tblPr/>
      <w:tcPr>
        <w:tcBorders>
          <w:top w:color="ff9999"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ffdddd" w:themeFill="accent6" w:themeFillTint="000033" w:val="clear"/>
      </w:tcPr>
    </w:tblStylePr>
    <w:tblStylePr w:type="band1Horz">
      <w:tblPr/>
      <w:tcPr>
        <w:shd w:color="auto" w:fill="ffdddd" w:themeFill="accent6" w:themeFillTint="000033" w:val="clear"/>
      </w:tcPr>
    </w:tblStylePr>
  </w:style>
  <w:style w:type="table" w:styleId="TableauListe3-Accentuation3">
    <w:name w:val="List Table 3 Accent 3"/>
    <w:basedOn w:val="TableauNormal"/>
    <w:uiPriority w:val="48"/>
    <w:rsid w:val="00113D39"/>
    <w:tblPr>
      <w:tblStyleRowBandSize w:val="1"/>
      <w:tblStyleColBandSize w:val="1"/>
      <w:tblBorders>
        <w:top w:color="006aff" w:space="0" w:sz="4" w:themeColor="accent3" w:val="single"/>
        <w:left w:color="006aff" w:space="0" w:sz="4" w:themeColor="accent3" w:val="single"/>
        <w:bottom w:color="006aff" w:space="0" w:sz="4" w:themeColor="accent3" w:val="single"/>
        <w:right w:color="006aff" w:space="0" w:sz="4" w:themeColor="accent3" w:val="single"/>
      </w:tblBorders>
    </w:tblPr>
    <w:tblStylePr w:type="firstRow">
      <w:rPr>
        <w:b w:val="1"/>
        <w:bCs w:val="1"/>
        <w:color w:val="ffffff" w:themeColor="background1"/>
      </w:rPr>
      <w:tblPr/>
      <w:tcPr>
        <w:shd w:color="auto" w:fill="006aff" w:themeFill="accent3" w:val="clear"/>
      </w:tcPr>
    </w:tblStylePr>
    <w:tblStylePr w:type="lastRow">
      <w:rPr>
        <w:b w:val="1"/>
        <w:bCs w:val="1"/>
      </w:rPr>
      <w:tblPr/>
      <w:tcPr>
        <w:tcBorders>
          <w:top w:color="006aff" w:space="0" w:sz="4" w:themeColor="accent3"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06aff" w:space="0" w:sz="4" w:themeColor="accent3" w:val="single"/>
          <w:right w:color="006aff" w:space="0" w:sz="4" w:themeColor="accent3" w:val="single"/>
        </w:tcBorders>
      </w:tcPr>
    </w:tblStylePr>
    <w:tblStylePr w:type="band1Horz">
      <w:tblPr/>
      <w:tcPr>
        <w:tcBorders>
          <w:top w:color="006aff" w:space="0" w:sz="4" w:themeColor="accent3" w:val="single"/>
          <w:bottom w:color="006aff" w:space="0" w:sz="4" w:themeColor="accent3"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06aff" w:space="0" w:sz="4" w:themeColor="accent3" w:val="double"/>
          <w:left w:space="0" w:sz="0" w:val="nil"/>
        </w:tcBorders>
      </w:tcPr>
    </w:tblStylePr>
    <w:tblStylePr w:type="swCell">
      <w:tblPr/>
      <w:tcPr>
        <w:tcBorders>
          <w:top w:color="006aff" w:space="0" w:sz="4" w:themeColor="accent3" w:val="double"/>
          <w:right w:space="0" w:sz="0" w:val="nil"/>
        </w:tcBorders>
      </w:tcPr>
    </w:tblStylePr>
  </w:style>
  <w:style w:type="character" w:styleId="Mention">
    <w:name w:val="Mention"/>
    <w:basedOn w:val="Policepardfaut"/>
    <w:uiPriority w:val="99"/>
    <w:unhideWhenUsed w:val="1"/>
    <w:rsid w:val="00372D3E"/>
    <w:rPr>
      <w:color w:val="2b579a"/>
      <w:shd w:color="auto" w:fill="e6e6e6" w:val="clear"/>
    </w:rPr>
  </w:style>
  <w:style w:type="paragraph" w:styleId="UEFAAppendix1" w:customStyle="1">
    <w:name w:val="UEFA Appendix 1"/>
    <w:basedOn w:val="Titre1"/>
    <w:next w:val="Normal"/>
    <w:qFormat w:val="1"/>
    <w:rsid w:val="008317F9"/>
    <w:pPr>
      <w:keepNext w:val="1"/>
      <w:numPr>
        <w:numId w:val="24"/>
      </w:numPr>
      <w:spacing w:after="240" w:before="240" w:line="240" w:lineRule="auto"/>
      <w:contextualSpacing w:val="0"/>
    </w:pPr>
    <w:rPr>
      <w:rFonts w:ascii="Arial" w:cs="Arial" w:eastAsia="Times New Roman" w:hAnsi="Arial"/>
      <w:bCs w:val="0"/>
      <w:noProof w:val="0"/>
      <w:color w:val="auto"/>
      <w:spacing w:val="0"/>
      <w:sz w:val="22"/>
      <w:szCs w:val="24"/>
      <w:u w:val="single"/>
      <w:lang w:val="en-US"/>
    </w:rPr>
  </w:style>
  <w:style w:type="paragraph" w:styleId="UEFAAppendix2" w:customStyle="1">
    <w:name w:val="UEFA Appendix 2"/>
    <w:basedOn w:val="Normal"/>
    <w:next w:val="Normal"/>
    <w:autoRedefine w:val="1"/>
    <w:qFormat w:val="1"/>
    <w:rsid w:val="008317F9"/>
    <w:pPr>
      <w:spacing w:after="240" w:before="240" w:line="240" w:lineRule="auto"/>
      <w:ind w:left="709" w:hanging="709"/>
      <w:outlineLvl w:val="1"/>
    </w:pPr>
    <w:rPr>
      <w:rFonts w:ascii="Ubuntu" w:cs="Arial" w:eastAsia="Times New Roman" w:hAnsi="Ubuntu"/>
      <w:color w:val="auto"/>
      <w:kern w:val="28"/>
      <w:sz w:val="20"/>
      <w:szCs w:val="20"/>
    </w:rPr>
  </w:style>
  <w:style w:type="paragraph" w:styleId="UEFAAppendix3" w:customStyle="1">
    <w:name w:val="UEFA Appendix 3"/>
    <w:basedOn w:val="Normal"/>
    <w:next w:val="Normal"/>
    <w:qFormat w:val="1"/>
    <w:rsid w:val="008317F9"/>
    <w:pPr>
      <w:numPr>
        <w:ilvl w:val="2"/>
        <w:numId w:val="24"/>
      </w:numPr>
      <w:spacing w:after="240" w:before="240" w:line="240" w:lineRule="auto"/>
      <w:outlineLvl w:val="2"/>
    </w:pPr>
    <w:rPr>
      <w:rFonts w:ascii="Segoe UI" w:cs="Arial" w:eastAsia="Times New Roman" w:hAnsi="Segoe UI"/>
      <w:color w:val="auto"/>
      <w:kern w:val="28"/>
      <w:sz w:val="22"/>
      <w:lang w:val="en-US"/>
    </w:rPr>
  </w:style>
  <w:style w:type="paragraph" w:styleId="CdTBase" w:customStyle="1">
    <w:name w:val="CdT Base"/>
    <w:link w:val="CdTBaseCar"/>
    <w:qFormat w:val="1"/>
    <w:rsid w:val="006143C3"/>
    <w:pPr>
      <w:spacing w:after="240"/>
      <w:jc w:val="both"/>
    </w:pPr>
    <w:rPr>
      <w:rFonts w:eastAsiaTheme="minorHAnsi"/>
      <w:sz w:val="21"/>
      <w:lang w:eastAsia="fr-FR"/>
    </w:rPr>
  </w:style>
  <w:style w:type="character" w:styleId="CdTBaseCar" w:customStyle="1">
    <w:name w:val="CdT Base Car"/>
    <w:basedOn w:val="Policepardfaut"/>
    <w:link w:val="CdTBase"/>
    <w:rsid w:val="006143C3"/>
    <w:rPr>
      <w:rFonts w:eastAsiaTheme="minorHAnsi"/>
      <w:sz w:val="21"/>
      <w:lang w:eastAsia="fr-FR"/>
    </w:rPr>
  </w:style>
  <w:style w:type="paragraph" w:styleId="Puces1" w:customStyle="1">
    <w:name w:val="Puces 1"/>
    <w:basedOn w:val="Normal"/>
    <w:link w:val="Puces1Car"/>
    <w:qFormat w:val="1"/>
    <w:rsid w:val="006143C3"/>
    <w:pPr>
      <w:widowControl w:val="0"/>
      <w:numPr>
        <w:numId w:val="25"/>
      </w:numPr>
      <w:spacing w:after="100" w:afterAutospacing="1" w:line="240" w:lineRule="auto"/>
    </w:pPr>
    <w:rPr>
      <w:rFonts w:cstheme="minorHAnsi"/>
      <w:color w:val="000000"/>
      <w:szCs w:val="21"/>
      <w:lang w:eastAsia="fr-FR" w:val="en-US"/>
    </w:rPr>
  </w:style>
  <w:style w:type="paragraph" w:styleId="Puces2" w:customStyle="1">
    <w:name w:val="Puces 2"/>
    <w:basedOn w:val="Puces1"/>
    <w:qFormat w:val="1"/>
    <w:rsid w:val="006143C3"/>
    <w:pPr>
      <w:numPr>
        <w:ilvl w:val="1"/>
      </w:numPr>
      <w:tabs>
        <w:tab w:val="num" w:pos="360"/>
      </w:tabs>
    </w:pPr>
  </w:style>
  <w:style w:type="character" w:styleId="Puces1Car" w:customStyle="1">
    <w:name w:val="Puces 1 Car"/>
    <w:link w:val="Puces1"/>
    <w:locked w:val="1"/>
    <w:rsid w:val="006143C3"/>
    <w:rPr>
      <w:rFonts w:cstheme="minorHAnsi" w:eastAsiaTheme="minorHAnsi"/>
      <w:color w:val="000000"/>
      <w:sz w:val="21"/>
      <w:szCs w:val="21"/>
      <w:lang w:eastAsia="fr-FR" w:val="en-US"/>
    </w:rPr>
  </w:style>
  <w:style w:type="character" w:styleId="Lienhypertextesuivivisit">
    <w:name w:val="FollowedHyperlink"/>
    <w:basedOn w:val="Policepardfaut"/>
    <w:uiPriority w:val="99"/>
    <w:semiHidden w:val="1"/>
    <w:unhideWhenUsed w:val="1"/>
    <w:rsid w:val="000E11A2"/>
    <w:rPr>
      <w:color w:val="fab900" w:themeColor="followedHyperlink"/>
      <w:u w:val="single"/>
    </w:rPr>
  </w:style>
  <w:style w:type="paragraph" w:styleId="xmsonormal" w:customStyle="1">
    <w:name w:val="x_msonormal"/>
    <w:basedOn w:val="Normal"/>
    <w:rsid w:val="001F5A0E"/>
    <w:pPr>
      <w:spacing w:after="0" w:line="240" w:lineRule="auto"/>
      <w:jc w:val="left"/>
    </w:pPr>
    <w:rPr>
      <w:rFonts w:ascii="Calibri" w:cs="Calibri" w:hAnsi="Calibri"/>
      <w:color w:val="auto"/>
      <w:sz w:val="20"/>
      <w:szCs w:val="20"/>
      <w:lang w:eastAsia="fr-F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tblStylePr w:type="band1Horz">
      <w:tcPr>
        <w:shd w:fill="cce1ff" w:val="clear"/>
      </w:tcPr>
    </w:tblStylePr>
    <w:tblStylePr w:type="band1Vert">
      <w:tcPr>
        <w:shd w:fill="cce1ff" w:val="clear"/>
      </w:tcPr>
    </w:tblStylePr>
    <w:tblStylePr w:type="firstCol">
      <w:rPr>
        <w:b w:val="1"/>
      </w:rPr>
    </w:tblStylePr>
    <w:tblStylePr w:type="firstRow">
      <w:rPr>
        <w:b w:val="1"/>
        <w:color w:val="ffffff"/>
      </w:rPr>
      <w:tcPr>
        <w:tcBorders>
          <w:top w:color="006aff" w:space="0" w:sz="4" w:val="single"/>
          <w:left w:color="006aff" w:space="0" w:sz="4" w:val="single"/>
          <w:bottom w:color="006aff" w:space="0" w:sz="4" w:val="single"/>
          <w:right w:color="006aff" w:space="0" w:sz="4" w:val="single"/>
          <w:insideH w:color="000000" w:space="0" w:sz="0" w:val="nil"/>
          <w:insideV w:color="000000" w:space="0" w:sz="0" w:val="nil"/>
        </w:tcBorders>
        <w:shd w:fill="006aff" w:val="clear"/>
      </w:tcPr>
    </w:tblStylePr>
    <w:tblStylePr w:type="lastCol">
      <w:rPr>
        <w:b w:val="1"/>
      </w:rPr>
    </w:tblStylePr>
    <w:tblStylePr w:type="lastRow">
      <w:rPr>
        <w:b w:val="1"/>
      </w:rPr>
      <w:tcPr>
        <w:tcBorders>
          <w:top w:color="006aff" w:space="0" w:sz="4" w:val="single"/>
        </w:tcBorders>
      </w:tcPr>
    </w:tblStylePr>
  </w:style>
  <w:style w:type="table" w:styleId="Table2">
    <w:basedOn w:val="TableNormal"/>
    <w:rPr>
      <w:sz w:val="22"/>
      <w:szCs w:val="22"/>
    </w:rPr>
    <w:tblPr>
      <w:tblStyleRowBandSize w:val="1"/>
      <w:tblStyleColBandSize w:val="1"/>
      <w:tblCellMar>
        <w:top w:w="0.0" w:type="dxa"/>
        <w:left w:w="108.0" w:type="dxa"/>
        <w:bottom w:w="0.0" w:type="dxa"/>
        <w:right w:w="108.0" w:type="dxa"/>
      </w:tblCellMar>
    </w:tblPr>
    <w:tblStylePr w:type="band1Horz">
      <w:tcPr>
        <w:shd w:fill="cce1ff" w:val="clear"/>
      </w:tcPr>
    </w:tblStylePr>
    <w:tblStylePr w:type="band1Vert">
      <w:tcPr>
        <w:shd w:fill="cce1ff" w:val="clear"/>
      </w:tcPr>
    </w:tblStylePr>
    <w:tblStylePr w:type="firstCol">
      <w:rPr>
        <w:b w:val="1"/>
      </w:rPr>
    </w:tblStylePr>
    <w:tblStylePr w:type="firstRow">
      <w:rPr>
        <w:b w:val="1"/>
        <w:color w:val="ffffff"/>
      </w:rPr>
      <w:tcPr>
        <w:tcBorders>
          <w:top w:color="006aff" w:space="0" w:sz="4" w:val="single"/>
          <w:left w:color="006aff" w:space="0" w:sz="4" w:val="single"/>
          <w:bottom w:color="006aff" w:space="0" w:sz="4" w:val="single"/>
          <w:right w:color="006aff" w:space="0" w:sz="4" w:val="single"/>
          <w:insideH w:color="000000" w:space="0" w:sz="0" w:val="nil"/>
          <w:insideV w:color="000000" w:space="0" w:sz="0" w:val="nil"/>
        </w:tcBorders>
        <w:shd w:fill="006aff" w:val="clear"/>
      </w:tcPr>
    </w:tblStylePr>
    <w:tblStylePr w:type="lastCol">
      <w:rPr>
        <w:b w:val="1"/>
      </w:rPr>
    </w:tblStylePr>
    <w:tblStylePr w:type="lastRow">
      <w:rPr>
        <w:b w:val="1"/>
      </w:rPr>
      <w:tcPr>
        <w:tcBorders>
          <w:top w:color="006aff" w:space="0" w:sz="4" w:val="single"/>
        </w:tcBorders>
      </w:tcPr>
    </w:tblStyle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tblStylePr w:type="band1Horz">
      <w:tcPr>
        <w:shd w:fill="cce1ff" w:val="clear"/>
      </w:tcPr>
    </w:tblStylePr>
    <w:tblStylePr w:type="band1Vert">
      <w:tcPr>
        <w:shd w:fill="cce1ff" w:val="clear"/>
      </w:tcPr>
    </w:tblStylePr>
    <w:tblStylePr w:type="firstCol">
      <w:rPr>
        <w:b w:val="1"/>
      </w:rPr>
    </w:tblStylePr>
    <w:tblStylePr w:type="firstRow">
      <w:rPr>
        <w:b w:val="1"/>
        <w:color w:val="ffffff"/>
      </w:rPr>
      <w:tcPr>
        <w:tcBorders>
          <w:top w:color="006aff" w:space="0" w:sz="4" w:val="single"/>
          <w:left w:color="006aff" w:space="0" w:sz="4" w:val="single"/>
          <w:bottom w:color="006aff" w:space="0" w:sz="4" w:val="single"/>
          <w:right w:color="006aff" w:space="0" w:sz="4" w:val="single"/>
          <w:insideH w:color="000000" w:space="0" w:sz="0" w:val="nil"/>
          <w:insideV w:color="000000" w:space="0" w:sz="0" w:val="nil"/>
        </w:tcBorders>
        <w:shd w:fill="006aff" w:val="clear"/>
      </w:tcPr>
    </w:tblStylePr>
    <w:tblStylePr w:type="lastCol">
      <w:rPr>
        <w:b w:val="1"/>
      </w:rPr>
    </w:tblStylePr>
    <w:tblStylePr w:type="lastRow">
      <w:rPr>
        <w:b w:val="1"/>
      </w:rPr>
      <w:tcPr>
        <w:tcBorders>
          <w:top w:color="006aff" w:space="0" w:sz="4" w:val="single"/>
        </w:tcBorders>
      </w:tcPr>
    </w:tblStylePr>
  </w:style>
  <w:style w:type="table" w:styleId="Table4">
    <w:basedOn w:val="TableNormal"/>
    <w:rPr>
      <w:sz w:val="22"/>
      <w:szCs w:val="22"/>
    </w:rPr>
    <w:tblPr>
      <w:tblStyleRowBandSize w:val="1"/>
      <w:tblStyleColBandSize w:val="1"/>
      <w:tblCellMar>
        <w:top w:w="0.0" w:type="dxa"/>
        <w:left w:w="108.0" w:type="dxa"/>
        <w:bottom w:w="0.0" w:type="dxa"/>
        <w:right w:w="108.0" w:type="dxa"/>
      </w:tblCellMar>
    </w:tblPr>
    <w:tblStylePr w:type="band1Horz">
      <w:tcPr>
        <w:shd w:fill="cce1ff" w:val="clear"/>
      </w:tcPr>
    </w:tblStylePr>
    <w:tblStylePr w:type="band1Vert">
      <w:tcPr>
        <w:shd w:fill="cce1ff" w:val="clear"/>
      </w:tcPr>
    </w:tblStylePr>
    <w:tblStylePr w:type="firstCol">
      <w:rPr>
        <w:b w:val="1"/>
      </w:rPr>
    </w:tblStylePr>
    <w:tblStylePr w:type="firstRow">
      <w:rPr>
        <w:b w:val="1"/>
        <w:color w:val="ffffff"/>
      </w:rPr>
      <w:tcPr>
        <w:tcBorders>
          <w:top w:color="006aff" w:space="0" w:sz="4" w:val="single"/>
          <w:left w:color="006aff" w:space="0" w:sz="4" w:val="single"/>
          <w:bottom w:color="006aff" w:space="0" w:sz="4" w:val="single"/>
          <w:right w:color="006aff" w:space="0" w:sz="4" w:val="single"/>
          <w:insideH w:color="000000" w:space="0" w:sz="0" w:val="nil"/>
          <w:insideV w:color="000000" w:space="0" w:sz="0" w:val="nil"/>
        </w:tcBorders>
        <w:shd w:fill="006aff" w:val="clear"/>
      </w:tcPr>
    </w:tblStylePr>
    <w:tblStylePr w:type="lastCol">
      <w:rPr>
        <w:b w:val="1"/>
      </w:rPr>
    </w:tblStylePr>
    <w:tblStylePr w:type="lastRow">
      <w:rPr>
        <w:b w:val="1"/>
      </w:rPr>
      <w:tcPr>
        <w:tcBorders>
          <w:top w:color="006aff" w:space="0" w:sz="4" w:val="single"/>
        </w:tcBorders>
      </w:tcPr>
    </w:tblStylePr>
  </w:style>
  <w:style w:type="table" w:styleId="Table5">
    <w:basedOn w:val="TableNormal"/>
    <w:rPr>
      <w:sz w:val="22"/>
      <w:szCs w:val="22"/>
    </w:rPr>
    <w:tblPr>
      <w:tblStyleRowBandSize w:val="1"/>
      <w:tblStyleColBandSize w:val="1"/>
      <w:tblCellMar>
        <w:top w:w="0.0" w:type="dxa"/>
        <w:left w:w="108.0" w:type="dxa"/>
        <w:bottom w:w="0.0" w:type="dxa"/>
        <w:right w:w="108.0" w:type="dxa"/>
      </w:tblCellMar>
    </w:tblPr>
    <w:tblStylePr w:type="band1Horz">
      <w:tcPr>
        <w:shd w:fill="cce1ff" w:val="clear"/>
      </w:tcPr>
    </w:tblStylePr>
    <w:tblStylePr w:type="band1Vert">
      <w:tcPr>
        <w:shd w:fill="cce1ff" w:val="clear"/>
      </w:tcPr>
    </w:tblStylePr>
    <w:tblStylePr w:type="firstCol">
      <w:rPr>
        <w:b w:val="1"/>
      </w:rPr>
    </w:tblStylePr>
    <w:tblStylePr w:type="firstRow">
      <w:rPr>
        <w:b w:val="1"/>
        <w:color w:val="ffffff"/>
      </w:rPr>
      <w:tcPr>
        <w:tcBorders>
          <w:top w:color="006aff" w:space="0" w:sz="4" w:val="single"/>
          <w:left w:color="006aff" w:space="0" w:sz="4" w:val="single"/>
          <w:bottom w:color="006aff" w:space="0" w:sz="4" w:val="single"/>
          <w:right w:color="006aff" w:space="0" w:sz="4" w:val="single"/>
          <w:insideH w:color="000000" w:space="0" w:sz="0" w:val="nil"/>
          <w:insideV w:color="000000" w:space="0" w:sz="0" w:val="nil"/>
        </w:tcBorders>
        <w:shd w:fill="006aff" w:val="clear"/>
      </w:tcPr>
    </w:tblStylePr>
    <w:tblStylePr w:type="lastCol">
      <w:rPr>
        <w:b w:val="1"/>
      </w:rPr>
    </w:tblStylePr>
    <w:tblStylePr w:type="lastRow">
      <w:rPr>
        <w:b w:val="1"/>
      </w:rPr>
      <w:tcPr>
        <w:tcBorders>
          <w:top w:color="006aff" w:space="0" w:sz="4" w:val="single"/>
        </w:tcBorders>
      </w:tcPr>
    </w:tblStylePr>
  </w:style>
  <w:style w:type="table" w:styleId="Table6">
    <w:basedOn w:val="TableNormal"/>
    <w:rPr>
      <w:sz w:val="22"/>
      <w:szCs w:val="22"/>
    </w:rPr>
    <w:tblPr>
      <w:tblStyleRowBandSize w:val="1"/>
      <w:tblStyleColBandSize w:val="1"/>
      <w:tblCellMar>
        <w:top w:w="0.0" w:type="dxa"/>
        <w:left w:w="108.0" w:type="dxa"/>
        <w:bottom w:w="0.0" w:type="dxa"/>
        <w:right w:w="108.0" w:type="dxa"/>
      </w:tblCellMar>
    </w:tblPr>
    <w:tblStylePr w:type="band1Horz">
      <w:tcPr>
        <w:shd w:fill="cce1ff" w:val="clear"/>
      </w:tcPr>
    </w:tblStylePr>
    <w:tblStylePr w:type="band1Vert">
      <w:tcPr>
        <w:shd w:fill="cce1ff" w:val="clear"/>
      </w:tcPr>
    </w:tblStylePr>
    <w:tblStylePr w:type="firstCol">
      <w:rPr>
        <w:b w:val="1"/>
      </w:rPr>
    </w:tblStylePr>
    <w:tblStylePr w:type="firstRow">
      <w:rPr>
        <w:b w:val="1"/>
        <w:color w:val="ffffff"/>
      </w:rPr>
      <w:tcPr>
        <w:tcBorders>
          <w:top w:color="006aff" w:space="0" w:sz="4" w:val="single"/>
          <w:left w:color="006aff" w:space="0" w:sz="4" w:val="single"/>
          <w:bottom w:color="006aff" w:space="0" w:sz="4" w:val="single"/>
          <w:right w:color="006aff" w:space="0" w:sz="4" w:val="single"/>
          <w:insideH w:color="000000" w:space="0" w:sz="0" w:val="nil"/>
          <w:insideV w:color="000000" w:space="0" w:sz="0" w:val="nil"/>
        </w:tcBorders>
        <w:shd w:fill="006aff" w:val="clear"/>
      </w:tcPr>
    </w:tblStylePr>
    <w:tblStylePr w:type="lastCol">
      <w:rPr>
        <w:b w:val="1"/>
      </w:rPr>
    </w:tblStylePr>
    <w:tblStylePr w:type="lastRow">
      <w:rPr>
        <w:b w:val="1"/>
      </w:rPr>
      <w:tcPr>
        <w:tcBorders>
          <w:top w:color="006aff" w:space="0" w:sz="4" w:val="single"/>
        </w:tcBorders>
      </w:tcPr>
    </w:tblStylePr>
  </w:style>
  <w:style w:type="table" w:styleId="Table7">
    <w:basedOn w:val="TableNormal"/>
    <w:rPr>
      <w:sz w:val="22"/>
      <w:szCs w:val="22"/>
    </w:rPr>
    <w:tblPr>
      <w:tblStyleRowBandSize w:val="1"/>
      <w:tblStyleColBandSize w:val="1"/>
      <w:tblCellMar>
        <w:top w:w="0.0" w:type="dxa"/>
        <w:left w:w="108.0" w:type="dxa"/>
        <w:bottom w:w="0.0" w:type="dxa"/>
        <w:right w:w="108.0" w:type="dxa"/>
      </w:tblCellMar>
    </w:tblPr>
    <w:tblStylePr w:type="band1Horz">
      <w:tcPr>
        <w:shd w:fill="cce1ff" w:val="clear"/>
      </w:tcPr>
    </w:tblStylePr>
    <w:tblStylePr w:type="band1Vert">
      <w:tcPr>
        <w:shd w:fill="cce1ff" w:val="clear"/>
      </w:tcPr>
    </w:tblStylePr>
    <w:tblStylePr w:type="firstCol">
      <w:rPr>
        <w:b w:val="1"/>
      </w:rPr>
    </w:tblStylePr>
    <w:tblStylePr w:type="firstRow">
      <w:rPr>
        <w:b w:val="1"/>
        <w:color w:val="ffffff"/>
      </w:rPr>
      <w:tcPr>
        <w:tcBorders>
          <w:top w:color="006aff" w:space="0" w:sz="4" w:val="single"/>
          <w:left w:color="006aff" w:space="0" w:sz="4" w:val="single"/>
          <w:bottom w:color="006aff" w:space="0" w:sz="4" w:val="single"/>
          <w:right w:color="006aff" w:space="0" w:sz="4" w:val="single"/>
          <w:insideH w:color="000000" w:space="0" w:sz="0" w:val="nil"/>
          <w:insideV w:color="000000" w:space="0" w:sz="0" w:val="nil"/>
        </w:tcBorders>
        <w:shd w:fill="006aff" w:val="clear"/>
      </w:tcPr>
    </w:tblStylePr>
    <w:tblStylePr w:type="lastCol">
      <w:rPr>
        <w:b w:val="1"/>
      </w:rPr>
    </w:tblStylePr>
    <w:tblStylePr w:type="lastRow">
      <w:rPr>
        <w:b w:val="1"/>
      </w:rPr>
      <w:tcPr>
        <w:tcBorders>
          <w:top w:color="006aff" w:space="0" w:sz="4" w:val="single"/>
        </w:tcBorders>
      </w:tcPr>
    </w:tblStylePr>
  </w:style>
  <w:style w:type="table" w:styleId="Table8">
    <w:basedOn w:val="TableNormal"/>
    <w:rPr>
      <w:sz w:val="22"/>
      <w:szCs w:val="22"/>
    </w:rPr>
    <w:tblPr>
      <w:tblStyleRowBandSize w:val="1"/>
      <w:tblStyleColBandSize w:val="1"/>
      <w:tblCellMar>
        <w:top w:w="0.0" w:type="dxa"/>
        <w:left w:w="108.0" w:type="dxa"/>
        <w:bottom w:w="0.0" w:type="dxa"/>
        <w:right w:w="108.0" w:type="dxa"/>
      </w:tblCellMar>
    </w:tblPr>
    <w:tblStylePr w:type="band1Horz">
      <w:tcPr>
        <w:shd w:fill="cce1ff" w:val="clear"/>
      </w:tcPr>
    </w:tblStylePr>
    <w:tblStylePr w:type="band1Vert">
      <w:tcPr>
        <w:shd w:fill="cce1ff" w:val="clear"/>
      </w:tcPr>
    </w:tblStylePr>
    <w:tblStylePr w:type="firstCol">
      <w:rPr>
        <w:b w:val="1"/>
      </w:rPr>
    </w:tblStylePr>
    <w:tblStylePr w:type="firstRow">
      <w:rPr>
        <w:b w:val="1"/>
        <w:color w:val="ffffff"/>
      </w:rPr>
      <w:tcPr>
        <w:tcBorders>
          <w:top w:color="006aff" w:space="0" w:sz="4" w:val="single"/>
          <w:left w:color="006aff" w:space="0" w:sz="4" w:val="single"/>
          <w:bottom w:color="006aff" w:space="0" w:sz="4" w:val="single"/>
          <w:right w:color="006aff" w:space="0" w:sz="4" w:val="single"/>
          <w:insideH w:color="000000" w:space="0" w:sz="0" w:val="nil"/>
          <w:insideV w:color="000000" w:space="0" w:sz="0" w:val="nil"/>
        </w:tcBorders>
        <w:shd w:fill="006aff" w:val="clear"/>
      </w:tcPr>
    </w:tblStylePr>
    <w:tblStylePr w:type="lastCol">
      <w:rPr>
        <w:b w:val="1"/>
      </w:rPr>
    </w:tblStylePr>
    <w:tblStylePr w:type="lastRow">
      <w:rPr>
        <w:b w:val="1"/>
      </w:rPr>
      <w:tcPr>
        <w:tcBorders>
          <w:top w:color="006aff" w:space="0" w:sz="4" w:val="single"/>
        </w:tcBorders>
      </w:tcPr>
    </w:tblStyle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rPr>
      <w:sz w:val="22"/>
      <w:szCs w:val="22"/>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https://stillmed.olympic.org/media/Document%20Library/OlympicOrg/News/2018/02/La-Nouvelle-Norme-infographie.pdf" TargetMode="External"/><Relationship Id="rId18" Type="http://schemas.openxmlformats.org/officeDocument/2006/relationships/image" Target="media/image3.png"/><Relationship Id="rId8" Type="http://schemas.openxmlformats.org/officeDocument/2006/relationships/image" Target="media/image7.png"/><Relationship Id="rId26" Type="http://schemas.openxmlformats.org/officeDocument/2006/relationships/customXml" Target="../customXML/item4.xml"/><Relationship Id="rId21"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hyperlink" Target="https://www.olympic.org/fr/agenda-olympique-2020" TargetMode="External"/><Relationship Id="rId17" Type="http://schemas.openxmlformats.org/officeDocument/2006/relationships/image" Target="media/image4.jpg"/><Relationship Id="rId7" Type="http://schemas.openxmlformats.org/officeDocument/2006/relationships/image" Target="media/image1.png"/><Relationship Id="rId25" Type="http://schemas.openxmlformats.org/officeDocument/2006/relationships/customXml" Target="../customXML/item3.xml"/><Relationship Id="rId20"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olympic.org/fr/documents/charte-olympique" TargetMode="External"/><Relationship Id="rId11" Type="http://schemas.openxmlformats.org/officeDocument/2006/relationships/image" Target="media/image2.png"/><Relationship Id="rId1" Type="http://schemas.openxmlformats.org/officeDocument/2006/relationships/theme" Target="theme/theme1.xml"/><Relationship Id="rId6" Type="http://schemas.openxmlformats.org/officeDocument/2006/relationships/customXml" Target="../customXML/item1.xml"/><Relationship Id="rId24" Type="http://schemas.openxmlformats.org/officeDocument/2006/relationships/customXml" Target="../customXML/item2.xml"/><Relationship Id="rId23" Type="http://schemas.openxmlformats.org/officeDocument/2006/relationships/footer" Target="footer2.xml"/><Relationship Id="rId15" Type="http://schemas.openxmlformats.org/officeDocument/2006/relationships/hyperlink" Target="https://www.paris2024.org/fr/vision-restauration/" TargetMode="External"/><Relationship Id="rId5" Type="http://schemas.openxmlformats.org/officeDocument/2006/relationships/styles" Target="styles.xml"/><Relationship Id="rId10" Type="http://schemas.openxmlformats.org/officeDocument/2006/relationships/hyperlink" Target="https://stillmed.olympic.org/media/Document%20Library/OlympicOrg/News/2018/02/Infographic-New-Norm.pdf" TargetMode="External"/><Relationship Id="rId19" Type="http://schemas.openxmlformats.org/officeDocument/2006/relationships/header" Target="header2.xml"/><Relationship Id="rId22"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image" Target="media/image9.png"/><Relationship Id="rId14"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ArialBlack-regular.ttf"/><Relationship Id="rId8" Type="http://schemas.openxmlformats.org/officeDocument/2006/relationships/font" Target="fonts/CambriaMath-regular.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Paris2024-Word">
  <a:themeElements>
    <a:clrScheme name="Paris 2024_New 2020">
      <a:dk1>
        <a:srgbClr val="000000"/>
      </a:dk1>
      <a:lt1>
        <a:srgbClr val="FFFFFF"/>
      </a:lt1>
      <a:dk2>
        <a:srgbClr val="F7B900"/>
      </a:dk2>
      <a:lt2>
        <a:srgbClr val="D6C377"/>
      </a:lt2>
      <a:accent1>
        <a:srgbClr val="00B35F"/>
      </a:accent1>
      <a:accent2>
        <a:srgbClr val="17B7B0"/>
      </a:accent2>
      <a:accent3>
        <a:srgbClr val="006AFF"/>
      </a:accent3>
      <a:accent4>
        <a:srgbClr val="7872F3"/>
      </a:accent4>
      <a:accent5>
        <a:srgbClr val="FF0042"/>
      </a:accent5>
      <a:accent6>
        <a:srgbClr val="FF5756"/>
      </a:accent6>
      <a:hlink>
        <a:srgbClr val="F9B900"/>
      </a:hlink>
      <a:folHlink>
        <a:srgbClr val="FAB900"/>
      </a:folHlink>
    </a:clrScheme>
    <a:fontScheme name="Paris2024">
      <a:majorFont>
        <a:latin typeface="Paris2024"/>
        <a:ea typeface=""/>
        <a:cs typeface=""/>
      </a:majorFont>
      <a:minorFont>
        <a:latin typeface="Source Sans Pr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lIns="0" rIns="0" rtlCol="0" anchor="ctr"/>
      <a:lstStyle>
        <a:defPPr algn="ctr">
          <a:defRPr b="1" dirty="0" smtClean="0">
            <a:latin typeface="Source Sans Pro" panose="020B0503030403020204" pitchFamily="34" charset="77"/>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rIns="0" rtlCol="0">
        <a:spAutoFit/>
      </a:bodyPr>
      <a:lstStyle>
        <a:defPPr algn="l">
          <a:defRPr sz="1600" b="0" i="0" dirty="0" err="1" smtClean="0">
            <a:latin typeface="Source Sans Pro Light" panose="020B0403030403020204" pitchFamily="34" charset="77"/>
          </a:defRPr>
        </a:defPPr>
      </a:lstStyle>
    </a:txDef>
  </a:objectDefaults>
  <a:extraClrSchemeLst/>
  <a:extLst>
    <a:ext uri="{05A4C25C-085E-4340-85A3-A5531E510DB2}">
      <thm15:themeFamily xmlns:thm15="http://schemas.microsoft.com/office/thememl/2012/main" name="Paris2024" id="{34EE10A4-C1E9-2440-A3FC-4E004E7F10B3}" vid="{888AF2B0-4BA4-D746-A14E-F3E6B94C557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NdUDOQP0pPsz5zy3RPb1WCHOK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mlkLjRoMDQycjAyCWguMnc1ZWN5dDIJaC4xYmFvbjZtMgloLjN2YWM1dWYyCWguMmFmbWcyODgAciExV3FqRkhqckxRQ0VqRWNfUDhseHNjZmtsLW5ETjJBUWs=</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be26eb-e3dc-4a79-bfaf-61dbbeb7c277">
      <Terms xmlns="http://schemas.microsoft.com/office/infopath/2007/PartnerControls"/>
    </lcf76f155ced4ddcb4097134ff3c332f>
    <TaxCatchAll xmlns="e3477bb5-ca78-41f2-8834-0bbb996f803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D682688-0C6F-4A1F-BEB5-99DE911F28E1}"/>
</file>

<file path=customXML/itemProps3.xml><?xml version="1.0" encoding="utf-8"?>
<ds:datastoreItem xmlns:ds="http://schemas.openxmlformats.org/officeDocument/2006/customXml" ds:itemID="{A6589A66-F342-4C2C-BA5C-1D71BC4F3DDA}"/>
</file>

<file path=customXML/itemProps4.xml><?xml version="1.0" encoding="utf-8"?>
<ds:datastoreItem xmlns:ds="http://schemas.openxmlformats.org/officeDocument/2006/customXml" ds:itemID="{2D34EE05-47DB-4266-997E-3314528C9347}"/>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PWurz@paris2024.org</dc:creator>
  <dcterms:created xsi:type="dcterms:W3CDTF">2023-03-22T04:22:00Z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y fmtid="{D5CDD505-2E9C-101B-9397-08002B2CF9AE}" pid="3" name="Order">
    <vt:r8>4800</vt:r8>
  </property>
  <property fmtid="{D5CDD505-2E9C-101B-9397-08002B2CF9AE}" pid="4" name="ToK">
    <vt:lpwstr>1;#Template|2678507a-1f0a-41b2-8897-5efdb43f377a</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lpwstr/>
  </property>
  <property fmtid="{D5CDD505-2E9C-101B-9397-08002B2CF9AE}" pid="11" name="MediaServiceImageTags">
    <vt:lpwstr/>
  </property>
  <property fmtid="{D5CDD505-2E9C-101B-9397-08002B2CF9AE}" pid="12" name="MSIP_Label_fa0a176c-03b7-4548-a138-f385fded9173_Enabled">
    <vt:lpwstr>true</vt:lpwstr>
  </property>
  <property fmtid="{D5CDD505-2E9C-101B-9397-08002B2CF9AE}" pid="13" name="MSIP_Label_fa0a176c-03b7-4548-a138-f385fded9173_SetDate">
    <vt:lpwstr>2023-06-06T15:09:44Z</vt:lpwstr>
  </property>
  <property fmtid="{D5CDD505-2E9C-101B-9397-08002B2CF9AE}" pid="14" name="MSIP_Label_fa0a176c-03b7-4548-a138-f385fded9173_Method">
    <vt:lpwstr>Standard</vt:lpwstr>
  </property>
  <property fmtid="{D5CDD505-2E9C-101B-9397-08002B2CF9AE}" pid="15" name="MSIP_Label_fa0a176c-03b7-4548-a138-f385fded9173_Name">
    <vt:lpwstr>INTERNAL</vt:lpwstr>
  </property>
  <property fmtid="{D5CDD505-2E9C-101B-9397-08002B2CF9AE}" pid="16" name="MSIP_Label_fa0a176c-03b7-4548-a138-f385fded9173_SiteId">
    <vt:lpwstr>c09ce228-0328-4790-badb-51649a00a51c</vt:lpwstr>
  </property>
  <property fmtid="{D5CDD505-2E9C-101B-9397-08002B2CF9AE}" pid="17" name="MSIP_Label_fa0a176c-03b7-4548-a138-f385fded9173_ActionId">
    <vt:lpwstr>9adeb879-92eb-4eb0-9606-c82fe5c3f0a6</vt:lpwstr>
  </property>
  <property fmtid="{D5CDD505-2E9C-101B-9397-08002B2CF9AE}" pid="18" name="MSIP_Label_fa0a176c-03b7-4548-a138-f385fded9173_ContentBits">
    <vt:lpwstr>3</vt:lpwstr>
  </property>
</Properties>
</file>