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commentsExtended.xml" ContentType="application/vnd.openxmlformats-officedocument.wordprocessingml.commentsExtended+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Fonts w:ascii="Paris2024" w:cs="Paris2024" w:eastAsia="Paris2024" w:hAnsi="Paris2024"/>
          <w:i w:val="1"/>
          <w:smallCaps w:val="1"/>
          <w:color w:val="262626"/>
          <w:sz w:val="120"/>
          <w:szCs w:val="120"/>
        </w:rPr>
        <w:drawing>
          <wp:anchor allowOverlap="1" behindDoc="0" distB="0" distT="0" distL="114300" distR="114300" hidden="0" layoutInCell="1" locked="0" relativeHeight="0" simplePos="0">
            <wp:simplePos x="0" y="0"/>
            <wp:positionH relativeFrom="margin">
              <wp:posOffset>-378459</wp:posOffset>
            </wp:positionH>
            <wp:positionV relativeFrom="margin">
              <wp:posOffset>-890904</wp:posOffset>
            </wp:positionV>
            <wp:extent cx="2964180" cy="1562100"/>
            <wp:effectExtent b="0" l="0" r="0" t="0"/>
            <wp:wrapSquare wrapText="bothSides" distB="0" distT="0" distL="114300" distR="114300"/>
            <wp:docPr id="6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2964180" cy="156210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Paris2024" w:cs="Paris2024" w:eastAsia="Paris2024" w:hAnsi="Paris2024"/>
          <w:b w:val="1"/>
          <w:i w:val="0"/>
          <w:smallCaps w:val="1"/>
          <w:strike w:val="0"/>
          <w:color w:val="000000"/>
          <w:sz w:val="56"/>
          <w:szCs w:val="56"/>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Paris2024" w:cs="Paris2024" w:eastAsia="Paris2024" w:hAnsi="Paris2024"/>
          <w:b w:val="1"/>
          <w:i w:val="0"/>
          <w:smallCaps w:val="1"/>
          <w:strike w:val="0"/>
          <w:color w:val="000000"/>
          <w:sz w:val="56"/>
          <w:szCs w:val="56"/>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Paris2024" w:cs="Paris2024" w:eastAsia="Paris2024" w:hAnsi="Paris2024"/>
          <w:b w:val="1"/>
          <w:i w:val="0"/>
          <w:smallCaps w:val="1"/>
          <w:strike w:val="0"/>
          <w:color w:val="000000"/>
          <w:sz w:val="52"/>
          <w:szCs w:val="52"/>
          <w:u w:val="none"/>
          <w:shd w:fill="auto" w:val="clear"/>
          <w:vertAlign w:val="baseline"/>
        </w:rPr>
      </w:pPr>
      <w:r w:rsidDel="00000000" w:rsidR="00000000" w:rsidRPr="00000000">
        <w:rPr>
          <w:rFonts w:ascii="Paris2024" w:cs="Paris2024" w:eastAsia="Paris2024" w:hAnsi="Paris2024"/>
          <w:b w:val="1"/>
          <w:i w:val="0"/>
          <w:smallCaps w:val="1"/>
          <w:strike w:val="0"/>
          <w:color w:val="000000"/>
          <w:sz w:val="52"/>
          <w:szCs w:val="52"/>
          <w:u w:val="none"/>
          <w:shd w:fill="auto" w:val="clear"/>
          <w:vertAlign w:val="baseline"/>
          <w:rtl w:val="0"/>
        </w:rPr>
        <w:t xml:space="preserve">CCTP - Stationnement vélos spectateurs et accrédités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16" w:lineRule="auto"/>
        <w:ind w:left="0" w:right="0" w:firstLine="0"/>
        <w:jc w:val="both"/>
        <w:rPr>
          <w:rFonts w:ascii="Paris2024" w:cs="Paris2024" w:eastAsia="Paris2024" w:hAnsi="Paris2024"/>
          <w:b w:val="1"/>
          <w:i w:val="0"/>
          <w:smallCaps w:val="0"/>
          <w:strike w:val="0"/>
          <w:color w:val="d6c377"/>
          <w:sz w:val="36"/>
          <w:szCs w:val="36"/>
          <w:u w:val="none"/>
          <w:shd w:fill="auto" w:val="clear"/>
          <w:vertAlign w:val="baseline"/>
        </w:rPr>
      </w:pPr>
      <w:r w:rsidDel="00000000" w:rsidR="00000000" w:rsidRPr="00000000">
        <w:rPr>
          <w:rFonts w:ascii="Paris2024" w:cs="Paris2024" w:eastAsia="Paris2024" w:hAnsi="Paris2024"/>
          <w:b w:val="1"/>
          <w:i w:val="0"/>
          <w:smallCaps w:val="0"/>
          <w:strike w:val="0"/>
          <w:color w:val="d6c377"/>
          <w:sz w:val="36"/>
          <w:szCs w:val="36"/>
          <w:u w:val="none"/>
          <w:shd w:fill="auto" w:val="clear"/>
          <w:vertAlign w:val="baseline"/>
          <w:rtl w:val="0"/>
        </w:rPr>
        <w:t xml:space="preserve">Paris 2024 – Département Mobilité</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spacing w:line="240" w:lineRule="auto"/>
        <w:jc w:val="left"/>
        <w:rPr/>
      </w:pPr>
      <w:r w:rsidDel="00000000" w:rsidR="00000000" w:rsidRPr="00000000">
        <w:br w:type="page"/>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 w:val="right" w:leader="none" w:pos="9770"/>
              <w:tab w:val="left" w:leader="none" w:pos="390"/>
              <w:tab w:val="right" w:leader="none" w:pos="9780"/>
            </w:tabs>
            <w:spacing w:after="0" w:before="120" w:line="288" w:lineRule="auto"/>
            <w:ind w:left="0" w:right="0" w:firstLine="0"/>
            <w:jc w:val="left"/>
            <w:rPr>
              <w:rFonts w:ascii="Arial" w:cs="Arial" w:eastAsia="Arial" w:hAnsi="Arial"/>
              <w:b w:val="1"/>
              <w:i w:val="0"/>
              <w:smallCaps w:val="1"/>
              <w:strike w:val="0"/>
              <w:color w:val="f9b900"/>
              <w:sz w:val="20"/>
              <w:szCs w:val="20"/>
              <w:u w:val="singl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gjdgxs">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1.</w:t>
              <w:tab/>
              <w:t xml:space="preserve">Contexte</w:t>
              <w:tab/>
              <w:t xml:space="preserve">2</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30j0zll">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1.1.</w:t>
              <w:tab/>
              <w:t xml:space="preserve">AMBITION CYCLABLE DES JEUX</w:t>
              <w:tab/>
              <w:t xml:space="preserve">3</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1fob9te">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1.2.</w:t>
              <w:tab/>
              <w:t xml:space="preserve">OBJET DU MARCHE</w:t>
              <w:tab/>
              <w:t xml:space="preserve">3</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3znysh7">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1.3.</w:t>
              <w:tab/>
              <w:t xml:space="preserve">ALLOTISSEMENT DU MARCHE</w:t>
              <w:tab/>
              <w:t xml:space="preserve">3</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 w:val="right" w:leader="none" w:pos="9770"/>
              <w:tab w:val="left" w:leader="none" w:pos="390"/>
              <w:tab w:val="right" w:leader="none" w:pos="9780"/>
            </w:tabs>
            <w:spacing w:after="0" w:before="120" w:line="288" w:lineRule="auto"/>
            <w:ind w:left="0" w:right="0" w:firstLine="0"/>
            <w:jc w:val="left"/>
            <w:rPr>
              <w:rFonts w:ascii="Arial" w:cs="Arial" w:eastAsia="Arial" w:hAnsi="Arial"/>
              <w:b w:val="1"/>
              <w:i w:val="0"/>
              <w:smallCaps w:val="1"/>
              <w:strike w:val="0"/>
              <w:color w:val="f9b900"/>
              <w:sz w:val="20"/>
              <w:szCs w:val="20"/>
              <w:u w:val="single"/>
              <w:shd w:fill="auto" w:val="clear"/>
              <w:vertAlign w:val="baseline"/>
            </w:rPr>
          </w:pPr>
          <w:hyperlink w:anchor="_heading=h.2et92p0">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2.</w:t>
              <w:tab/>
              <w:t xml:space="preserve">Prestations attendues</w:t>
              <w:tab/>
              <w:t xml:space="preserve">4</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tyjcwt">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2.1.</w:t>
              <w:tab/>
              <w:t xml:space="preserve">solutions de stationnement et de vestiaires</w:t>
              <w:tab/>
              <w:t xml:space="preserve">5</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3dy6vkm">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2.2.</w:t>
              <w:tab/>
              <w:t xml:space="preserve">Solution de barriérage (tranche optionnelle n°1)</w:t>
              <w:tab/>
              <w:t xml:space="preserve">5</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1t3h5sf">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2.3.</w:t>
              <w:tab/>
              <w:t xml:space="preserve">Habillage et Signalétique (Tranche optionnelle n°2)</w:t>
              <w:tab/>
              <w:t xml:space="preserve">6</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4d34og8">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2.4.</w:t>
              <w:tab/>
              <w:t xml:space="preserve">Accueil des usagers (public cycliste)</w:t>
              <w:tab/>
              <w:t xml:space="preserve">7</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2s8eyo1">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2.5.</w:t>
              <w:tab/>
              <w:t xml:space="preserve">Gestion des Ressources humaines</w:t>
              <w:tab/>
              <w:t xml:space="preserve">8</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17dp8vu">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2.6.</w:t>
              <w:tab/>
              <w:t xml:space="preserve">reporting nécessaire avant et pendant la prestation</w:t>
              <w:tab/>
              <w:t xml:space="preserve">8</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3rdcrjn">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2.7.</w:t>
              <w:tab/>
              <w:t xml:space="preserve">Services complémentaires éventuels</w:t>
              <w:tab/>
              <w:t xml:space="preserve">9</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 w:val="right" w:leader="none" w:pos="9770"/>
              <w:tab w:val="left" w:leader="none" w:pos="390"/>
              <w:tab w:val="right" w:leader="none" w:pos="9780"/>
            </w:tabs>
            <w:spacing w:after="0" w:before="120" w:line="288" w:lineRule="auto"/>
            <w:ind w:left="0" w:right="0" w:firstLine="0"/>
            <w:jc w:val="left"/>
            <w:rPr>
              <w:rFonts w:ascii="Arial" w:cs="Arial" w:eastAsia="Arial" w:hAnsi="Arial"/>
              <w:b w:val="1"/>
              <w:i w:val="0"/>
              <w:smallCaps w:val="1"/>
              <w:strike w:val="0"/>
              <w:color w:val="f9b900"/>
              <w:sz w:val="20"/>
              <w:szCs w:val="20"/>
              <w:u w:val="single"/>
              <w:shd w:fill="auto" w:val="clear"/>
              <w:vertAlign w:val="baseline"/>
            </w:rPr>
          </w:pPr>
          <w:hyperlink w:anchor="_heading=h.26in1rg">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3.</w:t>
              <w:tab/>
              <w:t xml:space="preserve">Organisation physique du service</w:t>
              <w:tab/>
              <w:t xml:space="preserve">9</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lnxbz9">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3.1.</w:t>
              <w:tab/>
              <w:t xml:space="preserve">Périmètre d’intervention</w:t>
              <w:tab/>
              <w:t xml:space="preserve">9</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35nkun2">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3.2.</w:t>
              <w:tab/>
              <w:t xml:space="preserve">Occupation de l’espace public</w:t>
              <w:tab/>
              <w:t xml:space="preserve">9</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1ksv4uv">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3.3.</w:t>
              <w:tab/>
              <w:t xml:space="preserve">Fourniture des arceaux</w:t>
              <w:tab/>
              <w:t xml:space="preserve">9</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44sinio">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3.4.</w:t>
              <w:tab/>
              <w:t xml:space="preserve">Mise en place, repli</w:t>
              <w:tab/>
              <w:t xml:space="preserve">10</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2jxsxqh">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3.5.</w:t>
              <w:tab/>
              <w:t xml:space="preserve">Offre destinée aux spectateurs – Lots 1 à 4</w:t>
              <w:tab/>
              <w:t xml:space="preserve">11</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z337ya">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3.6.</w:t>
              <w:tab/>
              <w:t xml:space="preserve">offre destinée aux accrédités – lots 5 a 9 et lot 10</w:t>
              <w:tab/>
              <w:t xml:space="preserve">11</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3j2qqm3">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3.7.</w:t>
              <w:tab/>
              <w:t xml:space="preserve">mode de livraison des équipements</w:t>
              <w:tab/>
              <w:t xml:space="preserve">11</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1y810tw">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3.8.</w:t>
              <w:tab/>
              <w:t xml:space="preserve">Assurances et responsabilités</w:t>
              <w:tab/>
              <w:t xml:space="preserve">11</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4i7ojhp">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3.9.</w:t>
              <w:tab/>
              <w:t xml:space="preserve">Autorisation d’occupation temporaire</w:t>
              <w:tab/>
              <w:t xml:space="preserve">12</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 w:val="right" w:leader="none" w:pos="9770"/>
              <w:tab w:val="left" w:leader="none" w:pos="390"/>
              <w:tab w:val="right" w:leader="none" w:pos="9780"/>
            </w:tabs>
            <w:spacing w:after="0" w:before="120" w:line="288" w:lineRule="auto"/>
            <w:ind w:left="0" w:right="0" w:firstLine="0"/>
            <w:jc w:val="left"/>
            <w:rPr>
              <w:rFonts w:ascii="Arial" w:cs="Arial" w:eastAsia="Arial" w:hAnsi="Arial"/>
              <w:b w:val="1"/>
              <w:i w:val="0"/>
              <w:smallCaps w:val="1"/>
              <w:strike w:val="0"/>
              <w:color w:val="f9b900"/>
              <w:sz w:val="20"/>
              <w:szCs w:val="20"/>
              <w:u w:val="single"/>
              <w:shd w:fill="auto" w:val="clear"/>
              <w:vertAlign w:val="baseline"/>
            </w:rPr>
          </w:pPr>
          <w:hyperlink w:anchor="_heading=h.2xcytpi">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4.</w:t>
              <w:tab/>
              <w:t xml:space="preserve">Organisation temporelle du service</w:t>
              <w:tab/>
              <w:t xml:space="preserve">12</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1ci93xb">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4.1.</w:t>
              <w:tab/>
              <w:t xml:space="preserve">Périodes d’activation</w:t>
              <w:tab/>
              <w:t xml:space="preserve">12</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3whwml4">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4.2.</w:t>
              <w:tab/>
              <w:t xml:space="preserve">Fin de service</w:t>
              <w:tab/>
              <w:t xml:space="preserve">13</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 w:val="right" w:leader="none" w:pos="9770"/>
              <w:tab w:val="left" w:leader="none" w:pos="390"/>
              <w:tab w:val="right" w:leader="none" w:pos="9780"/>
            </w:tabs>
            <w:spacing w:after="0" w:before="120" w:line="288" w:lineRule="auto"/>
            <w:ind w:left="0" w:right="0" w:firstLine="0"/>
            <w:jc w:val="left"/>
            <w:rPr>
              <w:rFonts w:ascii="Arial" w:cs="Arial" w:eastAsia="Arial" w:hAnsi="Arial"/>
              <w:b w:val="1"/>
              <w:i w:val="0"/>
              <w:smallCaps w:val="1"/>
              <w:strike w:val="0"/>
              <w:color w:val="f9b900"/>
              <w:sz w:val="20"/>
              <w:szCs w:val="20"/>
              <w:u w:val="single"/>
              <w:shd w:fill="auto" w:val="clear"/>
              <w:vertAlign w:val="baseline"/>
            </w:rPr>
          </w:pPr>
          <w:hyperlink w:anchor="_heading=h.2bn6wsx">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5.</w:t>
              <w:tab/>
              <w:t xml:space="preserve">Interfaces</w:t>
              <w:tab/>
              <w:t xml:space="preserve">13</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qsh70q">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5.1.</w:t>
              <w:tab/>
              <w:t xml:space="preserve">Cohabitation avec le SAVM&amp; free-FLOATEURS</w:t>
              <w:tab/>
              <w:t xml:space="preserve">13</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 w:val="right" w:leader="none" w:pos="9770"/>
              <w:tab w:val="left" w:leader="none" w:pos="390"/>
              <w:tab w:val="right" w:leader="none" w:pos="9780"/>
            </w:tabs>
            <w:spacing w:after="0" w:before="120" w:line="288" w:lineRule="auto"/>
            <w:ind w:left="0" w:right="0" w:firstLine="0"/>
            <w:jc w:val="left"/>
            <w:rPr>
              <w:rFonts w:ascii="Arial" w:cs="Arial" w:eastAsia="Arial" w:hAnsi="Arial"/>
              <w:b w:val="1"/>
              <w:i w:val="0"/>
              <w:smallCaps w:val="1"/>
              <w:strike w:val="0"/>
              <w:color w:val="f9b900"/>
              <w:sz w:val="20"/>
              <w:szCs w:val="20"/>
              <w:u w:val="single"/>
              <w:shd w:fill="auto" w:val="clear"/>
              <w:vertAlign w:val="baseline"/>
            </w:rPr>
          </w:pPr>
          <w:hyperlink w:anchor="_heading=h.3as4poj">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6.</w:t>
              <w:tab/>
              <w:t xml:space="preserve">Répartition géographique</w:t>
              <w:tab/>
              <w:t xml:space="preserve">14</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1pxezwc">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6.1.</w:t>
              <w:tab/>
              <w:t xml:space="preserve">Allotissement</w:t>
              <w:tab/>
              <w:t xml:space="preserve">14</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 w:val="right" w:leader="none" w:pos="9770"/>
              <w:tab w:val="left" w:leader="none" w:pos="390"/>
              <w:tab w:val="right" w:leader="none" w:pos="9780"/>
            </w:tabs>
            <w:spacing w:after="0" w:before="120" w:line="288" w:lineRule="auto"/>
            <w:ind w:left="0" w:right="0" w:firstLine="0"/>
            <w:jc w:val="left"/>
            <w:rPr>
              <w:rFonts w:ascii="Arial" w:cs="Arial" w:eastAsia="Arial" w:hAnsi="Arial"/>
              <w:b w:val="1"/>
              <w:i w:val="0"/>
              <w:smallCaps w:val="1"/>
              <w:strike w:val="0"/>
              <w:color w:val="f9b900"/>
              <w:sz w:val="20"/>
              <w:szCs w:val="20"/>
              <w:u w:val="single"/>
              <w:shd w:fill="auto" w:val="clear"/>
              <w:vertAlign w:val="baseline"/>
            </w:rPr>
          </w:pPr>
          <w:hyperlink w:anchor="_heading=h.49x2ik5">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7.</w:t>
              <w:tab/>
              <w:t xml:space="preserve">Prix</w:t>
              <w:tab/>
              <w:t xml:space="preserve">16</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2p2csry">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7.1.</w:t>
              <w:tab/>
              <w:t xml:space="preserve">Proposition financière</w:t>
              <w:tab/>
              <w:t xml:space="preserve">17</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147n2zr">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7.2.</w:t>
              <w:tab/>
              <w:t xml:space="preserve">Mise en œuvre, coordination et gestion de services associées</w:t>
              <w:tab/>
              <w:t xml:space="preserve">18</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3o7alnk">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7.3.</w:t>
              <w:tab/>
              <w:t xml:space="preserve">Conditions d’annulation</w:t>
              <w:tab/>
              <w:t xml:space="preserve">18</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23ckvvd">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7.4.</w:t>
              <w:tab/>
              <w:t xml:space="preserve">Option d’achat</w:t>
              <w:tab/>
              <w:t xml:space="preserve">18</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 w:val="right" w:leader="none" w:pos="9770"/>
              <w:tab w:val="left" w:leader="none" w:pos="390"/>
              <w:tab w:val="right" w:leader="none" w:pos="9780"/>
            </w:tabs>
            <w:spacing w:after="0" w:before="120" w:line="288" w:lineRule="auto"/>
            <w:ind w:left="0" w:right="0" w:firstLine="0"/>
            <w:jc w:val="left"/>
            <w:rPr>
              <w:rFonts w:ascii="Arial" w:cs="Arial" w:eastAsia="Arial" w:hAnsi="Arial"/>
              <w:b w:val="1"/>
              <w:i w:val="0"/>
              <w:smallCaps w:val="1"/>
              <w:strike w:val="0"/>
              <w:color w:val="f9b900"/>
              <w:sz w:val="20"/>
              <w:szCs w:val="20"/>
              <w:u w:val="single"/>
              <w:shd w:fill="auto" w:val="clear"/>
              <w:vertAlign w:val="baseline"/>
            </w:rPr>
          </w:pPr>
          <w:hyperlink w:anchor="_heading=h.ihv636">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8.</w:t>
              <w:tab/>
              <w:t xml:space="preserve">Conditions</w:t>
              <w:tab/>
              <w:t xml:space="preserve">19</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32hioqz">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8.1.</w:t>
              <w:tab/>
              <w:t xml:space="preserve">Marques sur site</w:t>
              <w:tab/>
              <w:t xml:space="preserve">19</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00"/>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1hmsyys">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8.2.</w:t>
              <w:tab/>
              <w:t xml:space="preserve">Communication externe</w:t>
              <w:tab/>
              <w:t xml:space="preserve">19</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0"/>
              <w:tab w:val="right" w:leader="none" w:pos="9770"/>
              <w:tab w:val="left" w:leader="none" w:pos="390"/>
              <w:tab w:val="right" w:leader="none" w:pos="9780"/>
            </w:tabs>
            <w:spacing w:after="0" w:before="120" w:line="288" w:lineRule="auto"/>
            <w:ind w:left="0" w:right="0" w:firstLine="0"/>
            <w:jc w:val="left"/>
            <w:rPr>
              <w:rFonts w:ascii="Arial" w:cs="Arial" w:eastAsia="Arial" w:hAnsi="Arial"/>
              <w:b w:val="1"/>
              <w:i w:val="0"/>
              <w:smallCaps w:val="1"/>
              <w:strike w:val="0"/>
              <w:color w:val="f9b900"/>
              <w:sz w:val="20"/>
              <w:szCs w:val="20"/>
              <w:u w:val="single"/>
              <w:shd w:fill="auto" w:val="clear"/>
              <w:vertAlign w:val="baseline"/>
            </w:rPr>
          </w:pPr>
          <w:hyperlink w:anchor="_heading=h.41mghml">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9.</w:t>
              <w:tab/>
              <w:t xml:space="preserve">Annexes</w:t>
              <w:tab/>
              <w:t xml:space="preserve">21</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2grqrue">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Annexe 1 - stratégie velo</w:t>
              <w:tab/>
              <w:t xml:space="preserve">21</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vx1227">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Annexe 2 – plan de situation des parkings</w:t>
              <w:tab/>
              <w:t xml:space="preserve">21</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3fwokq0">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Annexe 3 - volumes de stationnement accrédités par lot et par site</w:t>
              <w:tab/>
              <w:t xml:space="preserve">21</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1v1yuxt">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Annexe 4 – calendrier des operations et Détail des prestations</w:t>
              <w:tab/>
              <w:t xml:space="preserve">23</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80"/>
            </w:tabs>
            <w:spacing w:after="0" w:before="0" w:line="288" w:lineRule="auto"/>
            <w:ind w:left="210" w:right="0" w:firstLine="0"/>
            <w:jc w:val="left"/>
            <w:rPr>
              <w:rFonts w:ascii="Arial" w:cs="Arial" w:eastAsia="Arial" w:hAnsi="Arial"/>
              <w:b w:val="0"/>
              <w:i w:val="0"/>
              <w:smallCaps w:val="1"/>
              <w:strike w:val="0"/>
              <w:color w:val="f9b900"/>
              <w:sz w:val="20"/>
              <w:szCs w:val="20"/>
              <w:u w:val="single"/>
              <w:shd w:fill="auto" w:val="clear"/>
              <w:vertAlign w:val="baseline"/>
            </w:rPr>
          </w:pPr>
          <w:hyperlink w:anchor="_heading=h.4f1mdlm">
            <w:r w:rsidDel="00000000" w:rsidR="00000000" w:rsidRPr="00000000">
              <w:rPr>
                <w:rFonts w:ascii="Arial" w:cs="Arial" w:eastAsia="Arial" w:hAnsi="Arial"/>
                <w:b w:val="0"/>
                <w:i w:val="0"/>
                <w:smallCaps w:val="1"/>
                <w:strike w:val="0"/>
                <w:color w:val="000000"/>
                <w:sz w:val="20"/>
                <w:szCs w:val="20"/>
                <w:u w:val="none"/>
                <w:shd w:fill="auto" w:val="clear"/>
                <w:vertAlign w:val="baseline"/>
                <w:rtl w:val="0"/>
              </w:rPr>
              <w:t xml:space="preserve">annexe 5 – bordereau de prix</w:t>
              <w:tab/>
              <w:t xml:space="preserve">23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spacing w:line="24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3C">
      <w:pPr>
        <w:pStyle w:val="Heading1"/>
        <w:numPr>
          <w:ilvl w:val="0"/>
          <w:numId w:val="1"/>
        </w:numPr>
        <w:ind w:left="360" w:hanging="360"/>
        <w:rPr/>
      </w:pPr>
      <w:bookmarkStart w:colFirst="0" w:colLast="0" w:name="_heading=h.gjdgxs" w:id="0"/>
      <w:bookmarkEnd w:id="0"/>
      <w:r w:rsidDel="00000000" w:rsidR="00000000" w:rsidRPr="00000000">
        <w:rPr>
          <w:rtl w:val="0"/>
        </w:rPr>
        <w:t xml:space="preserve">Contexte</w:t>
      </w:r>
    </w:p>
    <w:p w:rsidR="00000000" w:rsidDel="00000000" w:rsidP="00000000" w:rsidRDefault="00000000" w:rsidRPr="00000000" w14:paraId="0000003D">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30j0zll" w:id="1"/>
      <w:bookmarkEnd w:id="1"/>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 AMBITION CYCLABLE DES JEUX</w:t>
      </w:r>
    </w:p>
    <w:p w:rsidR="00000000" w:rsidDel="00000000" w:rsidP="00000000" w:rsidRDefault="00000000" w:rsidRPr="00000000" w14:paraId="0000003E">
      <w:pPr>
        <w:rPr/>
      </w:pPr>
      <w:r w:rsidDel="00000000" w:rsidR="00000000" w:rsidRPr="00000000">
        <w:rPr>
          <w:rtl w:val="0"/>
        </w:rPr>
        <w:t xml:space="preserve">Les Jeux Olympiques et Paralympiques sont une occasion unique pour accélérer l’usage du vélo en Ile-de-France. Les partenaires publics des Jeux se sont associés pour porter un développement du réseau cyclable et une offre de stationnement dédiée autour des sites. Une stratégie vélo spécifique aux Jeux, annexée à la présente consultation, a été co-rédigée par : </w:t>
      </w:r>
    </w:p>
    <w:p w:rsidR="00000000" w:rsidDel="00000000" w:rsidP="00000000" w:rsidRDefault="00000000" w:rsidRPr="00000000" w14:paraId="0000003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993"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Les services du Ministre délégué chargé des Transports auprès du Ministre de la Transition écologique et de la Cohésion des territoires ;</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993"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 Délégation Interministérielle aux Jeux Olympiques et Paralympiques (DIJOP) ;</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993"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 Préfecture de Région Ile-de-France ;</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993"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 Préfecture de Police de Paris ;</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993"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Les Préfectures et Conseils départementaux des Hauts de Seine, de Seine St Denis, de Seine et Marne et des Yvelines ;</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993"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 Ville de Paris, les établissements publics territoriaux de Plaine Commune, Paris Terres d’Envol, Paris Vallée de la Marne, Paris la Défense, Versailles Grand Parc, St Quentin en Yvelines, la ville de Colombes ;</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993"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Ile-de-France-Mobilités ;</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993"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 Collectif Vélo Ile-de-France</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993"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Et Paris 2024.</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sdt>
        <w:sdtPr>
          <w:tag w:val="goog_rdk_0"/>
        </w:sdtPr>
        <w:sdtContent>
          <w:commentRangeStart w:id="0"/>
        </w:sdtContent>
      </w:sdt>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Cette stratégie sera communiquée en phase Offre de la consultation en annexe 1.</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1fob9te" w:id="2"/>
      <w:bookmarkEnd w:id="2"/>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OBJET DU MARCHE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Paris 2024 est maître d’ouvrage du présent marché, consistant à la mise en œuvre de solutions de stationnement temporaires pour les vélos des spectateurs et des accrédités aux abords directs des sites franciliens de Paris 2024, tant pour la période des jeux Olympiques que Paralympiques. </w:t>
      </w:r>
    </w:p>
    <w:p w:rsidR="00000000" w:rsidDel="00000000" w:rsidP="00000000" w:rsidRDefault="00000000" w:rsidRPr="00000000" w14:paraId="0000004D">
      <w:pPr>
        <w:rPr/>
      </w:pPr>
      <w:r w:rsidDel="00000000" w:rsidR="00000000" w:rsidRPr="00000000">
        <w:rPr>
          <w:rtl w:val="0"/>
        </w:rPr>
        <w:t xml:space="preserve">Les services seront gratuits pour les usagers, pris en charge par Paris2024 via ses financeurs.</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Dans le présent document, le terme « prestataire » fait référence au(x) lauréat(s), qu’ils soient candidats individuels ou en groupement. Les missions sont les mêmes quelles que soient les formes de réponse des candidats. </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spacing w:line="240" w:lineRule="auto"/>
        <w:jc w:val="left"/>
        <w:rPr>
          <w:rFonts w:ascii="Paris2024" w:cs="Paris2024" w:eastAsia="Paris2024" w:hAnsi="Paris2024"/>
          <w:b w:val="1"/>
          <w:smallCap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3znysh7" w:id="3"/>
      <w:bookmarkEnd w:id="3"/>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ALLOTISSEMENT DU MARCHE</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t xml:space="preserve">Le marché est alloti par secteurs géographiques et par type de population, pouvant être assignés au même prestataire / groupement d’entreprises tel que décrit au Règlement de Consultation. Chaque lot est mono attributaire. </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t xml:space="preserve">Le présent marché est alloti en 10 lots :</w:t>
      </w:r>
    </w:p>
    <w:p w:rsidR="00000000" w:rsidDel="00000000" w:rsidP="00000000" w:rsidRDefault="00000000" w:rsidRPr="00000000" w14:paraId="0000005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Lot 1 : Stationnement vélos des spectateurs en zone Ouest</w:t>
      </w:r>
    </w:p>
    <w:p w:rsidR="00000000" w:rsidDel="00000000" w:rsidP="00000000" w:rsidRDefault="00000000" w:rsidRPr="00000000" w14:paraId="0000005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Lot 2 : Stationnement vélos des spectateurs en zone Paris Centre</w:t>
      </w:r>
    </w:p>
    <w:p w:rsidR="00000000" w:rsidDel="00000000" w:rsidP="00000000" w:rsidRDefault="00000000" w:rsidRPr="00000000" w14:paraId="0000005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Lot 3 : Stationnement vélos des spectateurs en zone Nord</w:t>
      </w:r>
    </w:p>
    <w:p w:rsidR="00000000" w:rsidDel="00000000" w:rsidP="00000000" w:rsidRDefault="00000000" w:rsidRPr="00000000" w14:paraId="0000005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Lot 4 : Stationnement vélos des spectateurs en zone Est</w:t>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Lot 5 : Stationnement vélos des accrédités en zone Ouest</w:t>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Lot 6 : Stationnement vélos des accrédités en zone Paris Centre</w:t>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Lot 7 : Stationnement vélos des accrédités en zone Nord</w:t>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Lot 8 : Stationnement vélos des accrédités en zone Est</w:t>
      </w:r>
    </w:p>
    <w:p w:rsidR="00000000" w:rsidDel="00000000" w:rsidP="00000000" w:rsidRDefault="00000000" w:rsidRPr="00000000" w14:paraId="0000005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Lot 9 : Stationnement vélo des accrédités en région</w:t>
      </w:r>
    </w:p>
    <w:p w:rsidR="00000000" w:rsidDel="00000000" w:rsidP="00000000" w:rsidRDefault="00000000" w:rsidRPr="00000000" w14:paraId="0000006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Lot 10 : Fourniture et pose d’arceaux en intérieur site de compétition</w:t>
      </w:r>
    </w:p>
    <w:p w:rsidR="00000000" w:rsidDel="00000000" w:rsidP="00000000" w:rsidRDefault="00000000" w:rsidRPr="00000000" w14:paraId="0000006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360" w:before="720" w:line="240" w:lineRule="auto"/>
        <w:ind w:left="720" w:right="0" w:hanging="360"/>
        <w:jc w:val="both"/>
        <w:rPr/>
      </w:pPr>
      <w:bookmarkStart w:colFirst="0" w:colLast="0" w:name="_heading=h.2et92p0" w:id="4"/>
      <w:bookmarkEnd w:id="4"/>
      <w:r w:rsidDel="00000000" w:rsidR="00000000" w:rsidRPr="00000000">
        <w:rPr>
          <w:rFonts w:ascii="Paris2024" w:cs="Paris2024" w:eastAsia="Paris2024" w:hAnsi="Paris2024"/>
          <w:b w:val="1"/>
          <w:i w:val="0"/>
          <w:smallCaps w:val="0"/>
          <w:strike w:val="0"/>
          <w:color w:val="d6c377"/>
          <w:sz w:val="52"/>
          <w:szCs w:val="52"/>
          <w:u w:val="none"/>
          <w:shd w:fill="auto" w:val="clear"/>
          <w:vertAlign w:val="baseline"/>
          <w:rtl w:val="0"/>
        </w:rPr>
        <w:t xml:space="preserve">Prestations attendues </w:t>
      </w:r>
    </w:p>
    <w:p w:rsidR="00000000" w:rsidDel="00000000" w:rsidP="00000000" w:rsidRDefault="00000000" w:rsidRPr="00000000" w14:paraId="00000062">
      <w:pPr>
        <w:rPr/>
      </w:pPr>
      <w:r w:rsidDel="00000000" w:rsidR="00000000" w:rsidRPr="00000000">
        <w:rPr>
          <w:rtl w:val="0"/>
        </w:rPr>
        <w:t xml:space="preserve">Conformément à la stratégie vélo bâtie par les partenaires de la démarche, la mission consiste à mettre en place des solutions de stationnement vélo autour des sites franciliens. Il s’agit d’un service regroupant :</w:t>
      </w:r>
    </w:p>
    <w:p w:rsidR="00000000" w:rsidDel="00000000" w:rsidP="00000000" w:rsidRDefault="00000000" w:rsidRPr="00000000" w14:paraId="0000006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 mise en place et le repli de solutions de stationnement (type arceaux) et de vestiaires dans les zones définies</w:t>
      </w:r>
    </w:p>
    <w:p w:rsidR="00000000" w:rsidDel="00000000" w:rsidP="00000000" w:rsidRDefault="00000000" w:rsidRPr="00000000" w14:paraId="0000006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Une prestation d’accueil des usagers et de prise en charge des vélos.</w:t>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La mise en place et le repli de solutions de barriérage délimitant les zones de stationnement (Tranche optionnelle obligatoire – TO n°1)</w:t>
      </w:r>
    </w:p>
    <w:p w:rsidR="00000000" w:rsidDel="00000000" w:rsidP="00000000" w:rsidRDefault="00000000" w:rsidRPr="00000000" w14:paraId="000000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Une signalétique permettant une identification des zones de stationnement par les usagers (Tranche optionnelle obligatoire – TO n°2)</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Selon les zones géographiques de stationnement et les publics utilisateurs, tout ou partie des services seront activés. Le détail est précisé aux articles 3.4 et 3.5.</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L’esprit général du service repose sur un double principe : </w:t>
      </w:r>
    </w:p>
    <w:p w:rsidR="00000000" w:rsidDel="00000000" w:rsidP="00000000" w:rsidRDefault="00000000" w:rsidRPr="00000000" w14:paraId="000000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L’offre de stationnement vient compléter et renforcer l’offre habituelle d’arceaux urbains aux abords des sites de compétition. Il s’agit de gérer le pic de demandes liées aux Jeux, mais pas d’accueillir tous les usages habituels urbains ;</w:t>
      </w:r>
    </w:p>
    <w:p w:rsidR="00000000" w:rsidDel="00000000" w:rsidP="00000000" w:rsidRDefault="00000000" w:rsidRPr="00000000" w14:paraId="0000006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 public pouvant être moins aguerri à l’usage du vélo ou au secteur géographique, l’accueil humain est de nature à rassurer, orienter, et donc in fine attirer les cyclistes, notamment en famille.</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tyjcwt" w:id="5"/>
      <w:bookmarkEnd w:id="5"/>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solutions de stationnement et de vestiaires</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u w:val="single"/>
        </w:rPr>
      </w:pPr>
      <w:r w:rsidDel="00000000" w:rsidR="00000000" w:rsidRPr="00000000">
        <w:rPr>
          <w:u w:val="single"/>
          <w:rtl w:val="0"/>
        </w:rPr>
        <w:t xml:space="preserve">Solution de stationnement :</w:t>
      </w:r>
    </w:p>
    <w:p w:rsidR="00000000" w:rsidDel="00000000" w:rsidP="00000000" w:rsidRDefault="00000000" w:rsidRPr="00000000" w14:paraId="00000074">
      <w:pPr>
        <w:rPr>
          <w:u w:val="single"/>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Compte tenu du contexte événementiel, les solutions/arceaux doivent être autoportants, qu’il s’agisse d’un objet seul ou d’un assemblage de plusieurs pièces. En effet, les sites d’implantation ont des configurations diverses se prêtant mal - voire pas - à une fixation au sol : sol minéral ne pouvant être percé, sol stabilisé ou enherbé….</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En outre, les arceaux doivent être suffisamment stables et / ou lestés pour résister à un vent typique de la région à cette période. Le Prestataire en professionnel de l’art devra s’assurer que le matériel proposé est adapté aux conditions d’usage et répond aux normes de construction et de sécurité en vigueur. </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Compte-tenu des flux d’arrivée et de départ relativement concentrés avant et après les épreuves, les solutions doivent permettre d’accueillir et libérer les vélos rapidement. Des solutions qui nécessiteraient une manutention lente ne sont pas compatibles avec le fonctionnement des sites des JOP2024. </w:t>
      </w:r>
    </w:p>
    <w:p w:rsidR="00000000" w:rsidDel="00000000" w:rsidP="00000000" w:rsidRDefault="00000000" w:rsidRPr="00000000" w14:paraId="0000007A">
      <w:pPr>
        <w:rPr/>
      </w:pPr>
      <w:r w:rsidDel="00000000" w:rsidR="00000000" w:rsidRPr="00000000">
        <w:rPr>
          <w:rtl w:val="0"/>
        </w:rPr>
        <w:t xml:space="preserve">Les Candidats détailleront dans leur mémoire technique le temps de déploiement de la solution et le temps de prise en charge et de retour par vélo.</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u w:val="single"/>
        </w:rPr>
      </w:pPr>
      <w:r w:rsidDel="00000000" w:rsidR="00000000" w:rsidRPr="00000000">
        <w:rPr>
          <w:u w:val="single"/>
          <w:rtl w:val="0"/>
        </w:rPr>
        <w:t xml:space="preserve">Solution de vestiaires :</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Un vestiaire sera proposé par le prestataire, pour permettre aux usagers de mettre en sécurité essentiellement les batteries des vélos à assistance électrique. Ce vestiaire pourra prendre la forme d’une caisse, mais ne devra pas être ouvert (pas d’étagère par exemple). Ce vestiaire n’aura pas vocation à abriter des sièges enfant de vélo, des remorques de vélo, les casques etc.</w:t>
      </w:r>
    </w:p>
    <w:p w:rsidR="00000000" w:rsidDel="00000000" w:rsidP="00000000" w:rsidRDefault="00000000" w:rsidRPr="00000000" w14:paraId="0000007F">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3dy6vkm" w:id="6"/>
      <w:bookmarkEnd w:id="6"/>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Solution de barriérage (tranche optionnelle n°1)</w:t>
      </w:r>
    </w:p>
    <w:p w:rsidR="00000000" w:rsidDel="00000000" w:rsidP="00000000" w:rsidRDefault="00000000" w:rsidRPr="00000000" w14:paraId="00000080">
      <w:pPr>
        <w:rPr/>
      </w:pPr>
      <w:r w:rsidDel="00000000" w:rsidR="00000000" w:rsidRPr="00000000">
        <w:rPr>
          <w:rtl w:val="0"/>
        </w:rPr>
        <w:t xml:space="preserve">Le Prestataire propose obligatoirement dans son offre l’installation de barriérage délimitant les zones de stationnement. </w:t>
      </w:r>
    </w:p>
    <w:p w:rsidR="00000000" w:rsidDel="00000000" w:rsidP="00000000" w:rsidRDefault="00000000" w:rsidRPr="00000000" w14:paraId="00000081">
      <w:pPr>
        <w:rPr/>
      </w:pPr>
      <w:r w:rsidDel="00000000" w:rsidR="00000000" w:rsidRPr="00000000">
        <w:rPr>
          <w:rtl w:val="0"/>
        </w:rPr>
        <w:t xml:space="preserve">Cette prestation fait l’objet d’une Tranche Optionnelle (TO) qui sera affermie par Paris 2024 à l’attribution du marché ou en cours d’exécution.</w:t>
      </w:r>
    </w:p>
    <w:p w:rsidR="00000000" w:rsidDel="00000000" w:rsidP="00000000" w:rsidRDefault="00000000" w:rsidRPr="00000000" w14:paraId="00000082">
      <w:pPr>
        <w:rPr/>
      </w:pPr>
      <w:r w:rsidDel="00000000" w:rsidR="00000000" w:rsidRPr="00000000">
        <w:rPr>
          <w:rtl w:val="0"/>
        </w:rPr>
        <w:t xml:space="preserve">Il est demandé au Prestataire de détailler et justifier le dispositif qui lui semble nécessaire pour l’exploitation de chaque parking. Un forfait par parking sera déterminé. Un coût au mètre linéaire (ml) sera également proposé en cas de besoins additionnels.</w:t>
      </w:r>
    </w:p>
    <w:p w:rsidR="00000000" w:rsidDel="00000000" w:rsidP="00000000" w:rsidRDefault="00000000" w:rsidRPr="00000000" w14:paraId="00000083">
      <w:pPr>
        <w:rPr/>
      </w:pPr>
      <w:r w:rsidDel="00000000" w:rsidR="00000000" w:rsidRPr="00000000">
        <w:rPr>
          <w:rtl w:val="0"/>
        </w:rPr>
        <w:t xml:space="preserve">Afin de permettre de dimensionner ce dispositif Paris 2024 transmettra en phase offre les </w:t>
      </w:r>
      <w:sdt>
        <w:sdtPr>
          <w:tag w:val="goog_rdk_1"/>
        </w:sdtPr>
        <w:sdtContent>
          <w:commentRangeStart w:id="1"/>
        </w:sdtContent>
      </w:sdt>
      <w:r w:rsidDel="00000000" w:rsidR="00000000" w:rsidRPr="00000000">
        <w:rPr>
          <w:rtl w:val="0"/>
        </w:rPr>
        <w:t xml:space="preserve">plans de situation </w:t>
      </w:r>
      <w:commentRangeEnd w:id="1"/>
      <w:r w:rsidDel="00000000" w:rsidR="00000000" w:rsidRPr="00000000">
        <w:commentReference w:id="1"/>
      </w:r>
      <w:r w:rsidDel="00000000" w:rsidR="00000000" w:rsidRPr="00000000">
        <w:rPr>
          <w:rtl w:val="0"/>
        </w:rPr>
        <w:t xml:space="preserve">en annexe 2.</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Aussi, il est demandé au prestataire de détailler dans son mémoire technique : </w:t>
      </w:r>
    </w:p>
    <w:p w:rsidR="00000000" w:rsidDel="00000000" w:rsidP="00000000" w:rsidRDefault="00000000" w:rsidRPr="00000000" w14:paraId="0000008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Ses moyens propres : type / nombre / mètres linéaire de barrières déjà disponibles en stock.</w:t>
      </w:r>
    </w:p>
    <w:p w:rsidR="00000000" w:rsidDel="00000000" w:rsidP="00000000" w:rsidRDefault="00000000" w:rsidRPr="00000000" w14:paraId="0000008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Ses accords ayant court auprès de ses fournisseurs : type / nombre / mètres linéaires de barrières. Il s’agit ici d’assurer auprès de ses fournisseurs de la disponibilité des barrières. La réponse au présent appel d’offre vaut engagement.</w:t>
      </w:r>
    </w:p>
    <w:p w:rsidR="00000000" w:rsidDel="00000000" w:rsidP="00000000" w:rsidRDefault="00000000" w:rsidRPr="00000000" w14:paraId="0000008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 cas de pénurie avérée dès la présente phase d’appel d’offre, le prestataire devra proposer des solutions alternatives permettant de délimiter chaque zone, de prioriser les barrières dans l’optique de sécuriser les usagers du stationnement vélo vis-à-vis du trafic routier, notamment lorsque les zones de parkings sur trottoir longent un trafic routier. En dehors de ces usages de sécurisation, le barriérage peut être plus léger, par exemple via des clôtures ou barrières en bois, en plastique, pouvant par ailleurs supporter un habillage léger (comme évoqué dans le chapitre signalétique).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72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L’analyse des offres et des besoins cumulés de barriérage aboutira à l’affermissement potentiel de cette option lors de l’attribution du marché. </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1t3h5sf" w:id="7"/>
      <w:bookmarkEnd w:id="7"/>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Habillage et Signalétique (Tranche optionnelle n°2)</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Le Prestataire propose obligatoirement dans son offre en tranche optionnelle la fabrication</w:t>
      </w:r>
      <w:r w:rsidDel="00000000" w:rsidR="00000000" w:rsidRPr="00000000">
        <w:rPr>
          <w:color w:val="ff0000"/>
          <w:rtl w:val="0"/>
        </w:rPr>
        <w:t xml:space="preserve"> </w:t>
      </w:r>
      <w:r w:rsidDel="00000000" w:rsidR="00000000" w:rsidRPr="00000000">
        <w:rPr>
          <w:rtl w:val="0"/>
        </w:rPr>
        <w:t xml:space="preserve">et l’installation de l’habillage et des éléments de communication, signalétique qui sera affermie par Paris 2024 à l’attribution du marché ou en cours d’exécution.</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Le prestataire a pour mission d’habiller la zone de stationnement par une signalétique légère, dans le respect de la charte Paris 2024, pouvant être mise en place et repliée potentiellement chaque soir. Il s’agit de rendre visible la zone de stationnement vélos. </w:t>
      </w:r>
    </w:p>
    <w:p w:rsidR="00000000" w:rsidDel="00000000" w:rsidP="00000000" w:rsidRDefault="00000000" w:rsidRPr="00000000" w14:paraId="00000095">
      <w:pPr>
        <w:rPr/>
      </w:pPr>
      <w:r w:rsidDel="00000000" w:rsidR="00000000" w:rsidRPr="00000000">
        <w:rPr>
          <w:rtl w:val="0"/>
        </w:rPr>
        <w:t xml:space="preserve">A l’issue des Jeux la signalétique devra être évacuée par le prestataire. Paris 2024 encourage le réemploi, ou le recyclage dans le cadre de sa stratégie responsable des achats. La gestion de la seconde vie devra être détaillée dans le mémoire du prestataire.</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Paris 2024 indiquera sur son application mobile la localisation de ces offres de stationnement autour des sites. Le prestataire n’aura pas à assurer le jalonnement vers le parking.</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La marque du prestataire ne pourra apparaître. Paris 2024 fournira un « Kit of Parts Signalétique » numérique permettant au prestataire de mettre en œuvre les deux prestations indispensables : </w:t>
      </w:r>
    </w:p>
    <w:p w:rsidR="00000000" w:rsidDel="00000000" w:rsidP="00000000" w:rsidRDefault="00000000" w:rsidRPr="00000000" w14:paraId="000000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993"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Une oriflamme ou drapeau publicitaire d’au moins 3 mètres de haut par parking ; </w:t>
      </w:r>
    </w:p>
    <w:p w:rsidR="00000000" w:rsidDel="00000000" w:rsidP="00000000" w:rsidRDefault="00000000" w:rsidRPr="00000000" w14:paraId="000000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993"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 habillage partiel latéral, adossé à quelques barrières Vauban ou tout autre dispositif, permettant d’identifier le service. Il ne s’agit pas d’habiller tout le contour de toute la zone, mais de proposer un marquage permettant à l’arrivée en vélo d’identifier le service et à la sortie du site de compétition de le retrouver.</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Il sera indispensable de respecter la charte fournie par Paris 2024. En cas de non-respect de la charte, la signalétique sera interdite par Paris 2024 laissant à charge au prestataire le besoin de se fournir un habillage alternatif sous 24h. </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 le prestataire dispose d’éléments indispensables pour son exploitation mais floqués de marques ou identités autres, il devra en assurer un recouvrement afin que ces marques ne soient pas visibles. De la même manière, le personnel du prestataire ne pourra pas porter de tenue comportant des logos compte tenu des principes de « clean venue » applicables dans le cadre de l’évènement tel que décrit dans les conditions générales transmises en phase offre.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 Prestataire veillera donc à ce que les tenues soient totalement sans marque ou logo.</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Si la TO n’est pas activée, cela signifie que Paris 2024 se charge de s’approvisionner et de livrer sur site les éléments pré-cités. Le titulaire assurera alors la réception et l’installation puis le démontage mais ne sera pas en charge de la gestion de la seconde vie.</w:t>
      </w:r>
    </w:p>
    <w:p w:rsidR="00000000" w:rsidDel="00000000" w:rsidP="00000000" w:rsidRDefault="00000000" w:rsidRPr="00000000" w14:paraId="000000A3">
      <w:pPr>
        <w:spacing w:line="24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4d34og8" w:id="8"/>
      <w:bookmarkEnd w:id="8"/>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Accueil des usagers (public cycliste)</w:t>
      </w:r>
    </w:p>
    <w:p w:rsidR="00000000" w:rsidDel="00000000" w:rsidP="00000000" w:rsidRDefault="00000000" w:rsidRPr="00000000" w14:paraId="000000A5">
      <w:pPr>
        <w:rPr/>
      </w:pPr>
      <w:r w:rsidDel="00000000" w:rsidR="00000000" w:rsidRPr="00000000">
        <w:rPr>
          <w:rtl w:val="0"/>
        </w:rPr>
        <w:t xml:space="preserve">Le prestataire devra assurer l’accueil des spectateurs à vélo, et les aider à stationner leur vélo si nécessaire. </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D’une manière générale, le service se décompose en : </w:t>
      </w:r>
    </w:p>
    <w:p w:rsidR="00000000" w:rsidDel="00000000" w:rsidP="00000000" w:rsidRDefault="00000000" w:rsidRPr="00000000" w14:paraId="000000A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 stationnement « libre », c’est-à-dire que les spectateurs peuvent déposer et reprendre librement leur vélo, sans l’aide d’un opérateur du prestataire.</w:t>
      </w:r>
    </w:p>
    <w:p w:rsidR="00000000" w:rsidDel="00000000" w:rsidP="00000000" w:rsidRDefault="00000000" w:rsidRPr="00000000" w14:paraId="000000A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Un accès à un vestiaire sous contrôle d’un opérateur du prestataire. Il sera demandé aux usagers d’accrocher leur casque à leur vélo, le vélo étant arrimé à un arceau. L’idée étant de limiter au maximum le volume d’objets dans le vestiaire, en le limitant aux batteries, petit outillage mais pas aux casques ni vêtements de pluie… </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72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En outre, le prestataire devra :</w:t>
      </w:r>
    </w:p>
    <w:p w:rsidR="00000000" w:rsidDel="00000000" w:rsidP="00000000" w:rsidRDefault="00000000" w:rsidRPr="00000000" w14:paraId="000000A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Garantir une présence pendant les horaires d’ouverture du service, ce service étant ouvert en amont de chaque session (arrivée des spectateurs jusqu’à 1h30h avant) et en aval (départ jusqu’à 1h30 après).</w:t>
      </w:r>
    </w:p>
    <w:p w:rsidR="00000000" w:rsidDel="00000000" w:rsidP="00000000" w:rsidRDefault="00000000" w:rsidRPr="00000000" w14:paraId="000000A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Veiller sur les vélos stationnés et leurs éventuels équipements accrochés (casques, porte-bébés…) et informer les équipes appropriées du site Paris 2024 en cas d’intrusion sur la zone.</w:t>
      </w:r>
    </w:p>
    <w:p w:rsidR="00000000" w:rsidDel="00000000" w:rsidP="00000000" w:rsidRDefault="00000000" w:rsidRPr="00000000" w14:paraId="000000A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Pour les usagers laissant un objet au vestiaire, numéroter l’objet et fournir une contremarque à l’usager, et remettre à l’usager un carton/fiche indiquant la marche à suivre en cas d’oubli de l’objet au vestiaire. </w:t>
      </w:r>
    </w:p>
    <w:p w:rsidR="00000000" w:rsidDel="00000000" w:rsidP="00000000" w:rsidRDefault="00000000" w:rsidRPr="00000000" w14:paraId="000000A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Aider les usagers à s’orienter vers les portes d’accès piéton des sites. Idéalement, le personnel devra être en mesure de répondre en anglais à quelques questions basiques sur le service. </w:t>
      </w:r>
    </w:p>
    <w:p w:rsidR="00000000" w:rsidDel="00000000" w:rsidP="00000000" w:rsidRDefault="00000000" w:rsidRPr="00000000" w14:paraId="000000B0">
      <w:pPr>
        <w:spacing w:line="240" w:lineRule="auto"/>
        <w:jc w:val="left"/>
        <w:rPr/>
      </w:pPr>
      <w:r w:rsidDel="00000000" w:rsidR="00000000" w:rsidRPr="00000000">
        <w:rPr>
          <w:rtl w:val="0"/>
        </w:rPr>
      </w:r>
    </w:p>
    <w:p w:rsidR="00000000" w:rsidDel="00000000" w:rsidP="00000000" w:rsidRDefault="00000000" w:rsidRPr="00000000" w14:paraId="000000B1">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2s8eyo1" w:id="9"/>
      <w:bookmarkEnd w:id="9"/>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Gestion des Ressources humaines</w:t>
      </w:r>
    </w:p>
    <w:p w:rsidR="00000000" w:rsidDel="00000000" w:rsidP="00000000" w:rsidRDefault="00000000" w:rsidRPr="00000000" w14:paraId="000000B2">
      <w:pPr>
        <w:rPr/>
      </w:pPr>
      <w:r w:rsidDel="00000000" w:rsidR="00000000" w:rsidRPr="00000000">
        <w:rPr>
          <w:rtl w:val="0"/>
        </w:rPr>
        <w:t xml:space="preserve">Au regard du nombre de parkings à vélo, du volume de places de stationnement requis et de la tension générale sur la disponibilité de main d’œuvre pendant les Jeux, il est demandé au prestataire d’exprimer dans sa réponse sa stratégie de recrutement et les solutions palliatives en cas de désistement d’agents au pied levé. La réponse à l’appel d’offre vaut engagement à assurer la présence de personnel nécessaire à l’exécution du marché.</w:t>
      </w:r>
    </w:p>
    <w:p w:rsidR="00000000" w:rsidDel="00000000" w:rsidP="00000000" w:rsidRDefault="00000000" w:rsidRPr="00000000" w14:paraId="000000B3">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17dp8vu" w:id="10"/>
      <w:bookmarkEnd w:id="10"/>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reporting nécessaire avant et pendant la prestation</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spacing w:after="120" w:line="240" w:lineRule="auto"/>
        <w:rPr/>
      </w:pPr>
      <w:r w:rsidDel="00000000" w:rsidR="00000000" w:rsidRPr="00000000">
        <w:rPr>
          <w:rtl w:val="0"/>
        </w:rPr>
        <w:t xml:space="preserve">Le Prestataire soumettra à Paris 2024 des reportings de manière périodique selon la comitologie mise en place entre les Parties, détaillant par exemple :</w:t>
      </w:r>
    </w:p>
    <w:p w:rsidR="00000000" w:rsidDel="00000000" w:rsidP="00000000" w:rsidRDefault="00000000" w:rsidRPr="00000000" w14:paraId="000000B6">
      <w:pPr>
        <w:numPr>
          <w:ilvl w:val="0"/>
          <w:numId w:val="6"/>
        </w:numPr>
        <w:spacing w:after="120" w:line="240" w:lineRule="auto"/>
        <w:ind w:left="720" w:hanging="360"/>
        <w:rPr/>
      </w:pPr>
      <w:r w:rsidDel="00000000" w:rsidR="00000000" w:rsidRPr="00000000">
        <w:rPr>
          <w:rtl w:val="0"/>
        </w:rPr>
        <w:t xml:space="preserve">En préparation de la période d'exploitation, de manière hebdomadaire :</w:t>
      </w:r>
    </w:p>
    <w:p w:rsidR="00000000" w:rsidDel="00000000" w:rsidP="00000000" w:rsidRDefault="00000000" w:rsidRPr="00000000" w14:paraId="000000B7">
      <w:pPr>
        <w:spacing w:after="120" w:line="240" w:lineRule="auto"/>
        <w:rPr/>
      </w:pPr>
      <w:r w:rsidDel="00000000" w:rsidR="00000000" w:rsidRPr="00000000">
        <w:rPr>
          <w:rtl w:val="0"/>
        </w:rPr>
        <w:t xml:space="preserve">L'avancée du plan de recrutement, l'avancée des commandes auprès de ses sous-traitants, les éventuels retards et plan de mitigation proposé, les plans d'implantation mis à jour.</w:t>
      </w:r>
    </w:p>
    <w:p w:rsidR="00000000" w:rsidDel="00000000" w:rsidP="00000000" w:rsidRDefault="00000000" w:rsidRPr="00000000" w14:paraId="000000B8">
      <w:pPr>
        <w:numPr>
          <w:ilvl w:val="0"/>
          <w:numId w:val="7"/>
        </w:numPr>
        <w:spacing w:after="120" w:line="240" w:lineRule="auto"/>
        <w:ind w:left="720" w:hanging="360"/>
        <w:rPr/>
      </w:pPr>
      <w:r w:rsidDel="00000000" w:rsidR="00000000" w:rsidRPr="00000000">
        <w:rPr>
          <w:rtl w:val="0"/>
        </w:rPr>
        <w:t xml:space="preserve">En période d'exploitation, au quotidien et pour chaque parking :</w:t>
      </w:r>
    </w:p>
    <w:p w:rsidR="00000000" w:rsidDel="00000000" w:rsidP="00000000" w:rsidRDefault="00000000" w:rsidRPr="00000000" w14:paraId="000000B9">
      <w:pPr>
        <w:spacing w:after="120" w:line="240" w:lineRule="auto"/>
        <w:rPr/>
      </w:pPr>
      <w:r w:rsidDel="00000000" w:rsidR="00000000" w:rsidRPr="00000000">
        <w:rPr>
          <w:rtl w:val="0"/>
        </w:rPr>
        <w:t xml:space="preserve">Le nombre d'utilisateurs du service, le nombre de vélos non récupérés, les incidents et autres détails pertinents des Produits et/ou Services fournis à Paris 2024 ainsi que tous éléments attestant de la conformité de la fourniture des Produits et/ou Services par le Contractant, notamment aux engagements sociaux et environnementaux.</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3rdcrjn" w:id="11"/>
      <w:bookmarkEnd w:id="11"/>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Services complémentaires éventuels</w:t>
      </w:r>
    </w:p>
    <w:p w:rsidR="00000000" w:rsidDel="00000000" w:rsidP="00000000" w:rsidRDefault="00000000" w:rsidRPr="00000000" w14:paraId="000000BE">
      <w:pPr>
        <w:rPr/>
      </w:pPr>
      <w:r w:rsidDel="00000000" w:rsidR="00000000" w:rsidRPr="00000000">
        <w:rPr>
          <w:rtl w:val="0"/>
        </w:rPr>
        <w:t xml:space="preserve">Le prestataire peut proposer des services complémentaires s’il le souhaite : réglage rapide (hauteur de selle…), regonflage des pneus… Ces services n’étant pas exigés par Paris 2024, ils seront fournis à titre gracieux par le prestataire et ne seront pas pris en compte dans l’analyse de l’offre. Le prestataire ne pourra en aucun cas facturer de prestation au client final. Il est rappelé que toute transaction monétaire sur site est interdite. </w:t>
      </w:r>
    </w:p>
    <w:p w:rsidR="00000000" w:rsidDel="00000000" w:rsidP="00000000" w:rsidRDefault="00000000" w:rsidRPr="00000000" w14:paraId="000000B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360" w:before="720" w:line="240" w:lineRule="auto"/>
        <w:ind w:left="720" w:right="0" w:hanging="360"/>
        <w:jc w:val="both"/>
        <w:rPr/>
      </w:pPr>
      <w:bookmarkStart w:colFirst="0" w:colLast="0" w:name="_heading=h.26in1rg" w:id="12"/>
      <w:bookmarkEnd w:id="12"/>
      <w:r w:rsidDel="00000000" w:rsidR="00000000" w:rsidRPr="00000000">
        <w:rPr>
          <w:rFonts w:ascii="Paris2024" w:cs="Paris2024" w:eastAsia="Paris2024" w:hAnsi="Paris2024"/>
          <w:b w:val="1"/>
          <w:i w:val="0"/>
          <w:smallCaps w:val="0"/>
          <w:strike w:val="0"/>
          <w:color w:val="d6c377"/>
          <w:sz w:val="52"/>
          <w:szCs w:val="52"/>
          <w:u w:val="none"/>
          <w:shd w:fill="auto" w:val="clear"/>
          <w:vertAlign w:val="baseline"/>
          <w:rtl w:val="0"/>
        </w:rPr>
        <w:t xml:space="preserve">Organisation physique du service</w:t>
      </w:r>
    </w:p>
    <w:p w:rsidR="00000000" w:rsidDel="00000000" w:rsidP="00000000" w:rsidRDefault="00000000" w:rsidRPr="00000000" w14:paraId="000000C0">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lnxbz9" w:id="13"/>
      <w:bookmarkEnd w:id="13"/>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Périmètre d’intervention</w:t>
      </w:r>
    </w:p>
    <w:p w:rsidR="00000000" w:rsidDel="00000000" w:rsidP="00000000" w:rsidRDefault="00000000" w:rsidRPr="00000000" w14:paraId="000000C1">
      <w:pPr>
        <w:rPr/>
      </w:pPr>
      <w:r w:rsidDel="00000000" w:rsidR="00000000" w:rsidRPr="00000000">
        <w:rPr>
          <w:rtl w:val="0"/>
        </w:rPr>
        <w:t xml:space="preserve">Le prestataire opérera à l’intérieur de la zone définie par l’Autorisation d’Occupation Temporaire du domaine public (AOT), correspondant au plan de chaque site en annexe (annexe 3 transmise en phase offre). </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A l’occasion de l’appel d’offres, le prestataire peut, pour chaque lot pour lequel il répond, proposer une organisation optimisée de l’intérieur de chaque zone de stationnement. A minima, le prestataire doit présenter dans son offre un schéma d’implantation permettant à Paris 2024 apprécier la densité de vélos et l’organisation du service. </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Paris 2024 souhaite que l’organisation des espaces soit suffisamment confortable pour déambuler et installer son vélo, par un public familial, étranger, en situation de loisirs. Il faut donc que l’optimisation ne se fasse pas via l’augmentation de la densité au détriment de l’espace entre les vélos. </w:t>
      </w:r>
    </w:p>
    <w:p w:rsidR="00000000" w:rsidDel="00000000" w:rsidP="00000000" w:rsidRDefault="00000000" w:rsidRPr="00000000" w14:paraId="000000C6">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35nkun2" w:id="14"/>
      <w:bookmarkEnd w:id="14"/>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Occupation de l’espace public</w:t>
      </w:r>
    </w:p>
    <w:p w:rsidR="00000000" w:rsidDel="00000000" w:rsidP="00000000" w:rsidRDefault="00000000" w:rsidRPr="00000000" w14:paraId="000000C7">
      <w:pPr>
        <w:rPr/>
      </w:pPr>
      <w:r w:rsidDel="00000000" w:rsidR="00000000" w:rsidRPr="00000000">
        <w:rPr>
          <w:rtl w:val="0"/>
        </w:rPr>
        <w:t xml:space="preserve">Paris 2024 et les territoires ont déjà défini les zones de stationnement pour chaque site. Paris 2024 se chargera de mettre en contact le Prestataire avec chaque territoire concerné. Les AOT seront délivrées au prestataire et non à Paris 2024 afin que le prestataire puisse opérer le service. </w:t>
      </w:r>
    </w:p>
    <w:p w:rsidR="00000000" w:rsidDel="00000000" w:rsidP="00000000" w:rsidRDefault="00000000" w:rsidRPr="00000000" w14:paraId="000000C8">
      <w:pPr>
        <w:rPr/>
      </w:pPr>
      <w:r w:rsidDel="00000000" w:rsidR="00000000" w:rsidRPr="00000000">
        <w:rPr>
          <w:rtl w:val="0"/>
        </w:rPr>
        <w:t xml:space="preserve">Les espaces sont présentés en annexes. Il est attendu que le prestataire apprécie chaque espace ; la réponse à l’appel d’offres vaut engagement de sa part sur la compatibilité de sa solution avec l’espace identifié. S’agissant d’espaces publics existants, il est exclu que les espaces soient pré-aménagés par les collectivités pour répondre à une solution de stationnement. L’espace sera proposé en l’état, charge au prestataire de faire le cas échéant un repérage pour bâtir sa réponse. </w:t>
      </w:r>
    </w:p>
    <w:p w:rsidR="00000000" w:rsidDel="00000000" w:rsidP="00000000" w:rsidRDefault="00000000" w:rsidRPr="00000000" w14:paraId="000000C9">
      <w:pPr>
        <w:rPr/>
      </w:pPr>
      <w:r w:rsidDel="00000000" w:rsidR="00000000" w:rsidRPr="00000000">
        <w:rPr>
          <w:rtl w:val="0"/>
        </w:rPr>
        <w:t xml:space="preserve">Si l’espace s’avérait insuffisant en exploitation, par exemple après quelques jours, il devra en informer Paris 2024 qui, le cas échéant, en informera la ville émettrice de l’AOT qui étudiera la possibilité d’élargir la zone de l’AOT. </w:t>
      </w:r>
    </w:p>
    <w:p w:rsidR="00000000" w:rsidDel="00000000" w:rsidP="00000000" w:rsidRDefault="00000000" w:rsidRPr="00000000" w14:paraId="000000CA">
      <w:pPr>
        <w:spacing w:line="240" w:lineRule="auto"/>
        <w:jc w:val="left"/>
        <w:rPr>
          <w:rFonts w:ascii="Paris2024" w:cs="Paris2024" w:eastAsia="Paris2024" w:hAnsi="Paris2024"/>
          <w:b w:val="1"/>
          <w:smallCap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1ksv4uv" w:id="15"/>
      <w:bookmarkEnd w:id="15"/>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Fourniture des arceaux</w:t>
      </w:r>
    </w:p>
    <w:p w:rsidR="00000000" w:rsidDel="00000000" w:rsidP="00000000" w:rsidRDefault="00000000" w:rsidRPr="00000000" w14:paraId="000000CC">
      <w:pPr>
        <w:rPr/>
      </w:pPr>
      <w:r w:rsidDel="00000000" w:rsidR="00000000" w:rsidRPr="00000000">
        <w:rPr>
          <w:rtl w:val="0"/>
        </w:rPr>
        <w:t xml:space="preserve">Trois configurations de fourniture d’arceaux ou solutions de stationnement sont possibles sur les zones de stationnement : </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Service Complet » : Le prestataire fournit les arceaux, peu importe qu’ils lui appartiennent ou qu’il les loue à un tiers, sous réserve que le sous-traitant soit déclaré. Le prestataire opère le service d’accueil, vestiaire, mise en place et repli du service, tant concernant les arceaux que l’habillage et éléments de communication ; </w:t>
      </w:r>
    </w:p>
    <w:p w:rsidR="00000000" w:rsidDel="00000000" w:rsidP="00000000" w:rsidRDefault="00000000" w:rsidRPr="00000000" w14:paraId="000000C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Exploitation arceaux mobiles » : La collectivité fournit les arceaux à l’avance. Les arceaux sont déposés par la collectivité au plus tard la veille de l’évènement. Ils sont repris par la collectivité le soir du dernier jour ou le lendemain du dernier jour. Le prestataire opère le service d’accueil, vestiaire, repli le cas échéant sur ordre de la Préfecture de Police. Les modèles d’arceaux qui seront installés par la Ville de Paris sont pré-identifiés et seront présentés lors de la phase d’offre afin que le prestataire puisse apprécier l’opérabilité de ceux-ci : ce que nous appelons l’exploitation d’arceaux mobiles ;</w:t>
      </w:r>
    </w:p>
    <w:p w:rsidR="00000000" w:rsidDel="00000000" w:rsidP="00000000" w:rsidRDefault="00000000" w:rsidRPr="00000000" w14:paraId="000000D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Exploitation arceaux fixes » : La collectivité aura déjà installé des arceaux fixes. Le prestataire opère le service d’accueil, vestiaire, mise en place et repli de l’habillage mais laissera en place les arceaux fixés au sol. Il s’agit du parking du city stade au Stade de France. </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Les spécificités sont précisées pour chaque lot dans l’annexe 4 « Calendrier des opérations et détail des prestations ».</w:t>
      </w:r>
    </w:p>
    <w:p w:rsidR="00000000" w:rsidDel="00000000" w:rsidP="00000000" w:rsidRDefault="00000000" w:rsidRPr="00000000" w14:paraId="000000D3">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44sinio" w:id="16"/>
      <w:bookmarkEnd w:id="16"/>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Mise en place, repli</w:t>
      </w:r>
    </w:p>
    <w:p w:rsidR="00000000" w:rsidDel="00000000" w:rsidP="00000000" w:rsidRDefault="00000000" w:rsidRPr="00000000" w14:paraId="000000D4">
      <w:pPr>
        <w:rPr/>
      </w:pPr>
      <w:r w:rsidDel="00000000" w:rsidR="00000000" w:rsidRPr="00000000">
        <w:rPr>
          <w:rtl w:val="0"/>
        </w:rPr>
        <w:t xml:space="preserve">Au regard des périodes d’activations des sites de Paris 2024, le stationnement sera mis en place pour plusieurs jours voire plusieurs semaines.</w:t>
      </w:r>
    </w:p>
    <w:p w:rsidR="00000000" w:rsidDel="00000000" w:rsidP="00000000" w:rsidRDefault="00000000" w:rsidRPr="00000000" w14:paraId="000000D5">
      <w:pPr>
        <w:rPr/>
      </w:pPr>
      <w:r w:rsidDel="00000000" w:rsidR="00000000" w:rsidRPr="00000000">
        <w:rPr>
          <w:rtl w:val="0"/>
        </w:rPr>
        <w:t xml:space="preserve">Le prestataire est responsable de son matériel et doit le sécuriser notamment contre le vol entre les périodes d’activité.  </w:t>
      </w:r>
    </w:p>
    <w:p w:rsidR="00000000" w:rsidDel="00000000" w:rsidP="00000000" w:rsidRDefault="00000000" w:rsidRPr="00000000" w14:paraId="000000D6">
      <w:pPr>
        <w:rPr/>
      </w:pPr>
      <w:r w:rsidDel="00000000" w:rsidR="00000000" w:rsidRPr="00000000">
        <w:rPr>
          <w:rtl w:val="0"/>
        </w:rPr>
        <w:t xml:space="preserve">Dans la mesure où il s’agit de suivre le rythme des compétitions sportives, un calendrier est proposé dans le présent document afin que le prestataire prépare ses opérations. </w:t>
      </w:r>
    </w:p>
    <w:p w:rsidR="00000000" w:rsidDel="00000000" w:rsidP="00000000" w:rsidRDefault="00000000" w:rsidRPr="00000000" w14:paraId="000000D7">
      <w:pPr>
        <w:rPr/>
      </w:pPr>
      <w:r w:rsidDel="00000000" w:rsidR="00000000" w:rsidRPr="00000000">
        <w:rPr>
          <w:rtl w:val="0"/>
        </w:rPr>
        <w:t xml:space="preserve">Certains sites ont des compétitions qui s’enchaînent tous les jours, voire plusieurs fois par jour, d’autres alternent jours de compétition et jours d’entraînement. S’agissant d’une solution de stationnement pour les spectateurs, le prestataire devra suivre le calendrier pour ne pas exploiter une offre alors que le site n’accueille pas de spectateur ledit jour. </w:t>
      </w:r>
    </w:p>
    <w:p w:rsidR="00000000" w:rsidDel="00000000" w:rsidP="00000000" w:rsidRDefault="00000000" w:rsidRPr="00000000" w14:paraId="000000D8">
      <w:pPr>
        <w:rPr/>
      </w:pPr>
      <w:r w:rsidDel="00000000" w:rsidR="00000000" w:rsidRPr="00000000">
        <w:rPr>
          <w:rtl w:val="0"/>
        </w:rPr>
        <w:t xml:space="preserve">La mise en place des arceaux doit être imaginée, dans la mesure du possible, pour toute la durée couverte entre 1</w:t>
      </w:r>
      <w:r w:rsidDel="00000000" w:rsidR="00000000" w:rsidRPr="00000000">
        <w:rPr>
          <w:vertAlign w:val="superscript"/>
          <w:rtl w:val="0"/>
        </w:rPr>
        <w:t xml:space="preserve">er</w:t>
      </w:r>
      <w:r w:rsidDel="00000000" w:rsidR="00000000" w:rsidRPr="00000000">
        <w:rPr>
          <w:rtl w:val="0"/>
        </w:rPr>
        <w:t xml:space="preserve"> jour de compétition du site et le dernier jour. Il s’agit d’éviter de longues et couteuses phases de montage / démontage / remontage d’un jour à l’autre. L’objectif est que le prestataire n’ait pas à ranger chaque nuit son matériel pour le redéployer le lendemain. En revanche il doit le sécuriser pour éviter le vol. Le prestataire devra donc « assembler » ses arceaux avec par exemple des attaches rapides (type collier d’électricien) ou sécuriser via un câble ou une chaine ses arceaux afin d’éviter le vol pendant la nuit. </w:t>
      </w:r>
    </w:p>
    <w:p w:rsidR="00000000" w:rsidDel="00000000" w:rsidP="00000000" w:rsidRDefault="00000000" w:rsidRPr="00000000" w14:paraId="000000D9">
      <w:pPr>
        <w:rPr/>
      </w:pPr>
      <w:r w:rsidDel="00000000" w:rsidR="00000000" w:rsidRPr="00000000">
        <w:rPr>
          <w:rtl w:val="0"/>
        </w:rPr>
        <w:t xml:space="preserve">Lorsqu’un site n’a pas de compétition un jour donné, alors le prestataire proposera dans son offre soit de sécuriser (comme une nuit classique) soit de regrouper ses arceaux (telles les chaises de terrasses de brasserie). Si le prestataire estime pour des questions de vol ou dégradation, que ces arceaux doivent être repliés les jours sans compétition voire les nuits, il devra le spécifier dans son offre. </w:t>
      </w:r>
    </w:p>
    <w:p w:rsidR="00000000" w:rsidDel="00000000" w:rsidP="00000000" w:rsidRDefault="00000000" w:rsidRPr="00000000" w14:paraId="000000DA">
      <w:pPr>
        <w:rPr/>
      </w:pPr>
      <w:r w:rsidDel="00000000" w:rsidR="00000000" w:rsidRPr="00000000">
        <w:rPr>
          <w:rtl w:val="0"/>
        </w:rPr>
        <w:t xml:space="preserve">Par ailleurs, en cas de force majeure (exprimée par le préfet de Police par exemple), le prestataire devra être en mesure de déplacer ses équipements, dans un délai qui sera fixé par le Préfet. Les impacts financiers de la survenance d’un cas de force majeure sont précisés dans les Conditions Générales transmises lors de la phase offre. En journée, si un tel ordre devait intervenir alors que des vélos sont accrochés aux arceaux, le prestataire devra faire ses meilleurs efforts pour regrouper et sécuriser le maximum d’éléments sachant que les vélos sont attachés aux arceaux.</w:t>
      </w:r>
    </w:p>
    <w:p w:rsidR="00000000" w:rsidDel="00000000" w:rsidP="00000000" w:rsidRDefault="00000000" w:rsidRPr="00000000" w14:paraId="000000DB">
      <w:pPr>
        <w:rPr/>
      </w:pPr>
      <w:r w:rsidDel="00000000" w:rsidR="00000000" w:rsidRPr="00000000">
        <w:rPr>
          <w:rtl w:val="0"/>
        </w:rPr>
        <w:t xml:space="preserve">La logique d’allotissement géographique du présent marché a notamment pour but de permettre un redéploiement humain et matériel entre les parkings d’un lot pour pallier ce type d’événements. </w:t>
      </w:r>
    </w:p>
    <w:p w:rsidR="00000000" w:rsidDel="00000000" w:rsidP="00000000" w:rsidRDefault="00000000" w:rsidRPr="00000000" w14:paraId="000000DC">
      <w:pPr>
        <w:rPr/>
      </w:pPr>
      <w:r w:rsidDel="00000000" w:rsidR="00000000" w:rsidRPr="00000000">
        <w:rPr>
          <w:rtl w:val="0"/>
        </w:rPr>
        <w:t xml:space="preserve">Le prestataire devra prévoir la possibilité d’effectuer des redéploiements entre sites et parkings associés, en cas de surcharge d’un parking et de sous-charge d’un autre. Ce redéploiement s’entend au sein du lot pour lequel le prestataire est retenu. Tout redéploiement devra être validé par le maître d’ouvrage. </w:t>
      </w:r>
    </w:p>
    <w:p w:rsidR="00000000" w:rsidDel="00000000" w:rsidP="00000000" w:rsidRDefault="00000000" w:rsidRPr="00000000" w14:paraId="000000DD">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2jxsxqh" w:id="17"/>
      <w:bookmarkEnd w:id="17"/>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Offre destinée aux spectateurs – Lots 1 à 4</w:t>
      </w:r>
    </w:p>
    <w:p w:rsidR="00000000" w:rsidDel="00000000" w:rsidP="00000000" w:rsidRDefault="00000000" w:rsidRPr="00000000" w14:paraId="000000DE">
      <w:pPr>
        <w:rPr>
          <w:rFonts w:ascii="Arial" w:cs="Arial" w:eastAsia="Arial" w:hAnsi="Arial"/>
          <w:sz w:val="20"/>
          <w:szCs w:val="20"/>
        </w:rPr>
      </w:pPr>
      <w:r w:rsidDel="00000000" w:rsidR="00000000" w:rsidRPr="00000000">
        <w:rPr>
          <w:rtl w:val="0"/>
        </w:rPr>
        <w:t xml:space="preserve">Les stationnements ont été dimensionnés pour répondre à la demande de vélos liée aux sites. Pour la très grande majorité des sites, l’usage de ces parkings sera pour les spectateurs des jeux à vélo, et beaucoup moins pour des riverains ou touristes. Dans le cas où l’offre serait très largement inférieure à la demande, il conviendra de demander au cycliste de présenter son billet (peu importe l’horaire de session ou le site concerné) afin d’accéder à l’offre de stationnement de Paris 2024. Il ne s’agit pas d’un contrôle de billet, mais bien d’un regard sur la possession d’un billet afin de limiter les usages déviants qui empêcheraient les cibles du service d’en profiter. En effet, le service étant gratuit pour l’usager, il risque d’être par endroit attractif pour des usages sans lien avec les Jeux. </w:t>
      </w:r>
      <w:r w:rsidDel="00000000" w:rsidR="00000000" w:rsidRPr="00000000">
        <w:rPr>
          <w:rtl w:val="0"/>
        </w:rPr>
      </w:r>
    </w:p>
    <w:p w:rsidR="00000000" w:rsidDel="00000000" w:rsidP="00000000" w:rsidRDefault="00000000" w:rsidRPr="00000000" w14:paraId="000000DF">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z337ya" w:id="18"/>
      <w:bookmarkEnd w:id="18"/>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offre destinée aux accrédités – lots 5 a 9 et lot 10</w:t>
      </w:r>
    </w:p>
    <w:p w:rsidR="00000000" w:rsidDel="00000000" w:rsidP="00000000" w:rsidRDefault="00000000" w:rsidRPr="00000000" w14:paraId="000000E0">
      <w:pPr>
        <w:rPr/>
      </w:pPr>
      <w:r w:rsidDel="00000000" w:rsidR="00000000" w:rsidRPr="00000000">
        <w:rPr>
          <w:rtl w:val="0"/>
        </w:rPr>
        <w:t xml:space="preserve">Concernant les accrédités, le prestataire devra déployer des arceaux simples, sans vestiaire. Comme pour le stationnement spectateurs, le prestataire est tenu de sécuriser son matériel contre le vol en attachant les arceaux entre eux.</w:t>
      </w:r>
    </w:p>
    <w:p w:rsidR="00000000" w:rsidDel="00000000" w:rsidP="00000000" w:rsidRDefault="00000000" w:rsidRPr="00000000" w14:paraId="000000E1">
      <w:pPr>
        <w:rPr/>
      </w:pPr>
      <w:r w:rsidDel="00000000" w:rsidR="00000000" w:rsidRPr="00000000">
        <w:rPr>
          <w:rtl w:val="0"/>
        </w:rPr>
        <w:t xml:space="preserve">Le zones et volumes sont précisés en annexe 3. Ces arceaux seront à démonter / reprendre à l’issue des jeux. Les dates sont plus larges que pour les spectateurs, pour tenir compte des besoins de stationnement pour les staffs en phase de montage / démontage du site.</w:t>
      </w:r>
    </w:p>
    <w:p w:rsidR="00000000" w:rsidDel="00000000" w:rsidP="00000000" w:rsidRDefault="00000000" w:rsidRPr="00000000" w14:paraId="000000E2">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3j2qqm3" w:id="19"/>
      <w:bookmarkEnd w:id="19"/>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mode de livraison des équipements</w:t>
      </w:r>
    </w:p>
    <w:p w:rsidR="00000000" w:rsidDel="00000000" w:rsidP="00000000" w:rsidRDefault="00000000" w:rsidRPr="00000000" w14:paraId="000000E3">
      <w:pPr>
        <w:rPr/>
      </w:pPr>
      <w:r w:rsidDel="00000000" w:rsidR="00000000" w:rsidRPr="00000000">
        <w:rPr>
          <w:rtl w:val="0"/>
        </w:rPr>
        <w:t xml:space="preserve">Pour les sites les plus urbains, l’accès aux zones de parkings vélos pour les prestataires pourra être contraint, particulièrement si le prestataire doit livrer avec un véhicule lourd. Aussi, toute solution permettant de livrer les arceaux avec un véhicule léger (VUL, mini-utilitaire, vélo cargo) sera de nature à simplifier les livraisons. Le prestataire doit préciser ses solutions de livraison en tenant compte de l’éloignement de certains sites dans son mémoire technique. </w:t>
      </w:r>
    </w:p>
    <w:p w:rsidR="00000000" w:rsidDel="00000000" w:rsidP="00000000" w:rsidRDefault="00000000" w:rsidRPr="00000000" w14:paraId="000000E4">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1y810tw" w:id="20"/>
      <w:bookmarkEnd w:id="20"/>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Assurances et responsabilités</w:t>
      </w:r>
    </w:p>
    <w:p w:rsidR="00000000" w:rsidDel="00000000" w:rsidP="00000000" w:rsidRDefault="00000000" w:rsidRPr="00000000" w14:paraId="000000E5">
      <w:pPr>
        <w:rPr/>
      </w:pPr>
      <w:r w:rsidDel="00000000" w:rsidR="00000000" w:rsidRPr="00000000">
        <w:rPr>
          <w:rtl w:val="0"/>
        </w:rPr>
        <w:t xml:space="preserve">S’agissant de services opérés sur l’espace public, les prestataires doivent être assurés pour opérer leur service. Les prestataires ne pourront pas opérer sans disposer de l’autorisation de la collectivité (AOT) ; ils devront donc veiller à rester dans l’emprise définie par l’AOT. En outre, en cas de force majeure, les prestataires devront suivre les consignes des forces de l’ordre et en tenir informé Paris 2024.</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Le prestataire devra proposer une fiche d’information portant à la fois sur les conditions d’usage du parking et sur le vestiaire, à faire valider par Paris2024. </w:t>
      </w:r>
    </w:p>
    <w:p w:rsidR="00000000" w:rsidDel="00000000" w:rsidP="00000000" w:rsidRDefault="00000000" w:rsidRPr="00000000" w14:paraId="000000E8">
      <w:pPr>
        <w:rPr/>
      </w:pPr>
      <w:r w:rsidDel="00000000" w:rsidR="00000000" w:rsidRPr="00000000">
        <w:rPr>
          <w:rtl w:val="0"/>
        </w:rPr>
        <w:t xml:space="preserve">Le prestataire devra également proposer une démarche type en cas de litige avec un cycliste, à faire également valider par Paris2024.</w:t>
      </w:r>
    </w:p>
    <w:p w:rsidR="00000000" w:rsidDel="00000000" w:rsidP="00000000" w:rsidRDefault="00000000" w:rsidRPr="00000000" w14:paraId="000000E9">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4i7ojhp" w:id="21"/>
      <w:bookmarkEnd w:id="21"/>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Autorisation d’occupation temporaire</w:t>
      </w:r>
    </w:p>
    <w:p w:rsidR="00000000" w:rsidDel="00000000" w:rsidP="00000000" w:rsidRDefault="00000000" w:rsidRPr="00000000" w14:paraId="000000EA">
      <w:pPr>
        <w:rPr/>
      </w:pPr>
      <w:r w:rsidDel="00000000" w:rsidR="00000000" w:rsidRPr="00000000">
        <w:rPr>
          <w:rtl w:val="0"/>
        </w:rPr>
        <w:t xml:space="preserve">Pour toute opération sur l’espace public, le prestataire devra s’assurer de disposer d’une autorisation d’occupation temporaire. Paris 2024 mettra en relation le prestataire et la collectivité concernée, mais il est de la responsabilité du prestataire d’obtenir cette autorisation avant tout déploiement du parking à vélo. </w:t>
      </w:r>
    </w:p>
    <w:p w:rsidR="00000000" w:rsidDel="00000000" w:rsidP="00000000" w:rsidRDefault="00000000" w:rsidRPr="00000000" w14:paraId="000000EB">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360" w:before="720" w:line="240" w:lineRule="auto"/>
        <w:ind w:left="720" w:right="0" w:hanging="360"/>
        <w:jc w:val="both"/>
        <w:rPr/>
      </w:pPr>
      <w:bookmarkStart w:colFirst="0" w:colLast="0" w:name="_heading=h.2xcytpi" w:id="22"/>
      <w:bookmarkEnd w:id="22"/>
      <w:r w:rsidDel="00000000" w:rsidR="00000000" w:rsidRPr="00000000">
        <w:rPr>
          <w:rFonts w:ascii="Paris2024" w:cs="Paris2024" w:eastAsia="Paris2024" w:hAnsi="Paris2024"/>
          <w:b w:val="1"/>
          <w:i w:val="0"/>
          <w:smallCaps w:val="0"/>
          <w:strike w:val="0"/>
          <w:color w:val="d6c377"/>
          <w:sz w:val="52"/>
          <w:szCs w:val="52"/>
          <w:u w:val="none"/>
          <w:shd w:fill="auto" w:val="clear"/>
          <w:vertAlign w:val="baseline"/>
          <w:rtl w:val="0"/>
        </w:rPr>
        <w:t xml:space="preserve">Organisation temporelle du service</w:t>
      </w:r>
    </w:p>
    <w:p w:rsidR="00000000" w:rsidDel="00000000" w:rsidP="00000000" w:rsidRDefault="00000000" w:rsidRPr="00000000" w14:paraId="000000EC">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1ci93xb" w:id="23"/>
      <w:bookmarkEnd w:id="23"/>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Périodes d’activation</w:t>
      </w:r>
    </w:p>
    <w:p w:rsidR="00000000" w:rsidDel="00000000" w:rsidP="00000000" w:rsidRDefault="00000000" w:rsidRPr="00000000" w14:paraId="000000ED">
      <w:pPr>
        <w:rPr/>
      </w:pPr>
      <w:r w:rsidDel="00000000" w:rsidR="00000000" w:rsidRPr="00000000">
        <w:rPr>
          <w:rtl w:val="0"/>
        </w:rPr>
        <w:t xml:space="preserve">Pour de nombreux sites, plusieurs sessions sont opérées chaque jour, induisant une amplitude horaire importante pour le service, ainsi qu’un enjeu de croisement des flux d’arrivée et de départ donc de demande cumulée de stationnement.</w:t>
      </w:r>
    </w:p>
    <w:p w:rsidR="00000000" w:rsidDel="00000000" w:rsidP="00000000" w:rsidRDefault="00000000" w:rsidRPr="00000000" w14:paraId="000000EE">
      <w:pPr>
        <w:rPr/>
      </w:pPr>
      <w:r w:rsidDel="00000000" w:rsidR="00000000" w:rsidRPr="00000000">
        <w:rPr>
          <w:rtl w:val="0"/>
        </w:rPr>
        <w:t xml:space="preserve">Un tableau de toutes les sessions et parkings associés est fourni dans la présente consultation en annexe 4, afin que le prestataire puisse apprécier les moyens nécessaires. </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pPr>
      <w:r w:rsidDel="00000000" w:rsidR="00000000" w:rsidRPr="00000000">
        <w:rPr>
          <w:rtl w:val="0"/>
        </w:rPr>
        <w:t xml:space="preserve">A titre d’information pour le prestataire, l’autorité des mobilités en Ile de France (IDFM) intègre les courbes d’arrivées et départs de spectateurs suivantes en transports collectifs pour les sites de compétition : </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drawing>
          <wp:inline distB="0" distT="0" distL="0" distR="0">
            <wp:extent cx="3313480" cy="994468"/>
            <wp:effectExtent b="0" l="0" r="0" t="0"/>
            <wp:docPr id="63"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3313480" cy="994468"/>
                    </a:xfrm>
                    <a:prstGeom prst="rect"/>
                    <a:ln/>
                  </pic:spPr>
                </pic:pic>
              </a:graphicData>
            </a:graphic>
          </wp:inline>
        </w:drawing>
      </w: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Il est probable que les cyclistes arrivent et partent de manière plus concentrée. Aussi, le prestataire devra dimensionner ses ressources pour être en mesure de monter le service afin qu’il soit opérationnel 1h30 avant chaque session (H-1h30) et jusqu’à 2h00 après chaque session (H+2). Dans la mesure où les arceaux resteront en place la nuit, un spectateur à vélo pourra stationner son vélo avant l’ouverture du service, sans la présence humaine ni le service de vestiaire. </w:t>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t xml:space="preserve">Ainsi sont présentées en annexe 4, pour chaque site, les sessions sportives. En face de chaque session est indiqué le « P » d’un parking actif. En amont et en aval de cette période est mentionnée une phase de « M » correspondant à une phase de manutention et d’accueil, puis après la session à une phase d’accueil et une phase de manutention : </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drawing>
          <wp:inline distB="0" distT="0" distL="0" distR="0">
            <wp:extent cx="6210300" cy="1113155"/>
            <wp:effectExtent b="0" l="0" r="0" t="0"/>
            <wp:docPr id="62"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6210300" cy="1113155"/>
                    </a:xfrm>
                    <a:prstGeom prst="rect"/>
                    <a:ln/>
                  </pic:spPr>
                </pic:pic>
              </a:graphicData>
            </a:graphic>
          </wp:inline>
        </w:drawing>
      </w:r>
      <w:r w:rsidDel="00000000" w:rsidR="00000000" w:rsidRPr="00000000">
        <w:rPr>
          <w:rtl w:val="0"/>
        </w:rPr>
      </w:r>
    </w:p>
    <w:p w:rsidR="00000000" w:rsidDel="00000000" w:rsidP="00000000" w:rsidRDefault="00000000" w:rsidRPr="00000000" w14:paraId="000000F9">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3whwml4" w:id="24"/>
      <w:bookmarkEnd w:id="24"/>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Fin de service</w:t>
      </w:r>
    </w:p>
    <w:p w:rsidR="00000000" w:rsidDel="00000000" w:rsidP="00000000" w:rsidRDefault="00000000" w:rsidRPr="00000000" w14:paraId="000000FA">
      <w:pPr>
        <w:rPr/>
      </w:pPr>
      <w:r w:rsidDel="00000000" w:rsidR="00000000" w:rsidRPr="00000000">
        <w:rPr>
          <w:rtl w:val="0"/>
        </w:rPr>
        <w:t xml:space="preserve">Il n’est pas à exclure que certains usagers oublient de venir chercher leur vélo après l’épreuve, ou ne viennent le chercher que le lendemain.    </w:t>
      </w:r>
    </w:p>
    <w:p w:rsidR="00000000" w:rsidDel="00000000" w:rsidP="00000000" w:rsidRDefault="00000000" w:rsidRPr="00000000" w14:paraId="000000FB">
      <w:pPr>
        <w:rPr/>
      </w:pPr>
      <w:r w:rsidDel="00000000" w:rsidR="00000000" w:rsidRPr="00000000">
        <w:rPr>
          <w:rtl w:val="0"/>
        </w:rPr>
        <w:t xml:space="preserve">D’une manière générale, le prestataire devra permettre à l’usager de retrouver son vélo dans de bonnes conditions et doit proscrire un maximum la découpe les antivols des vélos empêchant le rangement.</w:t>
      </w:r>
    </w:p>
    <w:p w:rsidR="00000000" w:rsidDel="00000000" w:rsidP="00000000" w:rsidRDefault="00000000" w:rsidRPr="00000000" w14:paraId="000000FC">
      <w:pPr>
        <w:rPr/>
      </w:pPr>
      <w:r w:rsidDel="00000000" w:rsidR="00000000" w:rsidRPr="00000000">
        <w:rPr>
          <w:rtl w:val="0"/>
        </w:rPr>
        <w:t xml:space="preserve">Au sein des sites Paris 2024, les espaces de stockage des objets trouvés sont trop restreints pour accueillir des vélos. Aussi Il est demandé au prestataire de proposer une méthode de gestion de ces cas. </w:t>
      </w:r>
    </w:p>
    <w:p w:rsidR="00000000" w:rsidDel="00000000" w:rsidP="00000000" w:rsidRDefault="00000000" w:rsidRPr="00000000" w14:paraId="000000FD">
      <w:pPr>
        <w:rPr/>
      </w:pPr>
      <w:r w:rsidDel="00000000" w:rsidR="00000000" w:rsidRPr="00000000">
        <w:rPr>
          <w:rtl w:val="0"/>
        </w:rPr>
        <w:t xml:space="preserve">En tout état de cause, le prestataire devra proposer et afficher des conditions d’usages, en français / anglais / espagnol, indiquant clairement qu’en cas d’oubli du vélo ce dernier sera à aller chercher dans un lieu tiers</w:t>
      </w:r>
      <w:sdt>
        <w:sdtPr>
          <w:tag w:val="goog_rdk_2"/>
        </w:sdtPr>
        <w:sdtContent>
          <w:commentRangeStart w:id="2"/>
        </w:sdtContent>
      </w:sdt>
      <w:sdt>
        <w:sdtPr>
          <w:tag w:val="goog_rdk_3"/>
        </w:sdtPr>
        <w:sdtContent>
          <w:commentRangeStart w:id="3"/>
        </w:sdtContent>
      </w:sdt>
      <w:r w:rsidDel="00000000" w:rsidR="00000000" w:rsidRPr="00000000">
        <w:rPr>
          <w:rtl w:val="0"/>
        </w:rPr>
        <w:t xml:space="preserve">. Il est demandé au prestataire d’exprimer dans son offre sa stratégie à ce sujet et, le cas échéant, de l’intégrer dans son prix par lot.</w:t>
      </w:r>
      <w:commentRangeEnd w:id="2"/>
      <w:r w:rsidDel="00000000" w:rsidR="00000000" w:rsidRPr="00000000">
        <w:commentReference w:id="2"/>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0F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360" w:before="720" w:line="240" w:lineRule="auto"/>
        <w:ind w:left="720" w:right="0" w:hanging="360"/>
        <w:jc w:val="both"/>
        <w:rPr/>
      </w:pPr>
      <w:bookmarkStart w:colFirst="0" w:colLast="0" w:name="_heading=h.2bn6wsx" w:id="25"/>
      <w:bookmarkEnd w:id="25"/>
      <w:r w:rsidDel="00000000" w:rsidR="00000000" w:rsidRPr="00000000">
        <w:rPr>
          <w:rFonts w:ascii="Paris2024" w:cs="Paris2024" w:eastAsia="Paris2024" w:hAnsi="Paris2024"/>
          <w:b w:val="1"/>
          <w:i w:val="0"/>
          <w:smallCaps w:val="0"/>
          <w:strike w:val="0"/>
          <w:color w:val="d6c377"/>
          <w:sz w:val="52"/>
          <w:szCs w:val="52"/>
          <w:u w:val="none"/>
          <w:shd w:fill="auto" w:val="clear"/>
          <w:vertAlign w:val="baseline"/>
          <w:rtl w:val="0"/>
        </w:rPr>
        <w:t xml:space="preserve">Interfaces </w:t>
      </w:r>
    </w:p>
    <w:p w:rsidR="00000000" w:rsidDel="00000000" w:rsidP="00000000" w:rsidRDefault="00000000" w:rsidRPr="00000000" w14:paraId="000000FF">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qsh70q" w:id="26"/>
      <w:bookmarkEnd w:id="26"/>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Cohabitation avec le SAVM&amp; free-FLOATEURS</w:t>
      </w:r>
    </w:p>
    <w:p w:rsidR="00000000" w:rsidDel="00000000" w:rsidP="00000000" w:rsidRDefault="00000000" w:rsidRPr="00000000" w14:paraId="00000100">
      <w:pPr>
        <w:rPr/>
      </w:pPr>
      <w:r w:rsidDel="00000000" w:rsidR="00000000" w:rsidRPr="00000000">
        <w:rPr>
          <w:rtl w:val="0"/>
        </w:rPr>
        <w:t xml:space="preserve">Les stationnements du présent appel d’offres seront destinés aux vélos personnels ou loués à titre individuel (Véligo…). En parallèle, des discussions sont en cours pour un éventuel renfort de l’offre de Vélib’ et des flottes en free-floating. </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b w:val="1"/>
        </w:rPr>
      </w:pPr>
      <w:r w:rsidDel="00000000" w:rsidR="00000000" w:rsidRPr="00000000">
        <w:rPr>
          <w:b w:val="1"/>
          <w:rtl w:val="0"/>
        </w:rPr>
        <w:t xml:space="preserve">Vélib’</w:t>
      </w:r>
    </w:p>
    <w:p w:rsidR="00000000" w:rsidDel="00000000" w:rsidP="00000000" w:rsidRDefault="00000000" w:rsidRPr="00000000" w14:paraId="00000103">
      <w:pPr>
        <w:rPr/>
      </w:pPr>
      <w:r w:rsidDel="00000000" w:rsidR="00000000" w:rsidRPr="00000000">
        <w:rPr>
          <w:rtl w:val="0"/>
        </w:rPr>
        <w:t xml:space="preserve">Le Syndicat Autolib-Velib’ Métropole envisage la mise en place de stations temporaires : </w:t>
      </w:r>
    </w:p>
    <w:p w:rsidR="00000000" w:rsidDel="00000000" w:rsidP="00000000" w:rsidRDefault="00000000" w:rsidRPr="00000000" w14:paraId="0000010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 dans Paris Centre</w:t>
      </w:r>
    </w:p>
    <w:p w:rsidR="00000000" w:rsidDel="00000000" w:rsidP="00000000" w:rsidRDefault="00000000" w:rsidRPr="00000000" w14:paraId="0000010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Porte de Versailles</w:t>
      </w:r>
    </w:p>
    <w:p w:rsidR="00000000" w:rsidDel="00000000" w:rsidP="00000000" w:rsidRDefault="00000000" w:rsidRPr="00000000" w14:paraId="0000010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à Roland Garros-Parc des Princes</w:t>
      </w:r>
    </w:p>
    <w:p w:rsidR="00000000" w:rsidDel="00000000" w:rsidP="00000000" w:rsidRDefault="00000000" w:rsidRPr="00000000" w14:paraId="0000010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à CAO-Stade de France</w:t>
      </w:r>
    </w:p>
    <w:p w:rsidR="00000000" w:rsidDel="00000000" w:rsidP="00000000" w:rsidRDefault="00000000" w:rsidRPr="00000000" w14:paraId="0000010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à Bercy </w:t>
      </w:r>
    </w:p>
    <w:p w:rsidR="00000000" w:rsidDel="00000000" w:rsidP="00000000" w:rsidRDefault="00000000" w:rsidRPr="00000000" w14:paraId="0000010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Porte de la Chapelle</w:t>
      </w:r>
    </w:p>
    <w:p w:rsidR="00000000" w:rsidDel="00000000" w:rsidP="00000000" w:rsidRDefault="00000000" w:rsidRPr="00000000" w14:paraId="0000010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à la Défense</w:t>
      </w:r>
    </w:p>
    <w:p w:rsidR="00000000" w:rsidDel="00000000" w:rsidP="00000000" w:rsidRDefault="00000000" w:rsidRPr="00000000" w14:paraId="0000010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à Yves du Manoir</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 SAVM envisage d’implanter ces stations sur des espaces distincts (parfois contigus, parfois pas) et gérés indépendamment. Les stations temporaires Vélib’ nécessitent un dispositif technique et humain spécifique compte tenu de l’absence de bornes pour fixer les vélos et sont donc nécessairement distincts des espaces vélo de Paris2024. Il n’y a donc pas d’interface avec le présent marché.</w:t>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b w:val="1"/>
        </w:rPr>
      </w:pPr>
      <w:r w:rsidDel="00000000" w:rsidR="00000000" w:rsidRPr="00000000">
        <w:rPr>
          <w:b w:val="1"/>
          <w:rtl w:val="0"/>
        </w:rPr>
        <w:t xml:space="preserve">Free Floaters</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 ce stade, l’ampleur de l’offre supplémentaire de vélos en free floating n’est pas définie et la demande restera pour partie incertaine. Par essence un vélo en free floating n’a pas besoin ni vocation à être attaché à un arceau. Le stationnement des vélos free floating peut se contenter d’une zone virtuelle pour encadrer la demande sans pour autant proposer d’arceaux. </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Aussi, à date de la présente consultation, il n’est pas demandé au prestataire d’accueillir les vélos en free floating. Si tel était le cas d’ici les JOP2024, il serait alors demandé aux opérateurs de freefloating d’assurer une gestion humaine de l’afflux de vélos, afin de réguler la demande de vélos en free floating dans le parking Paris 2024. Dans ce cas, avec l’aide d’un opérateur de free floating, le prestataire devra accueillir les vélos en free floating dans son espace, dans une limite de 30% du parking (ex 30 vélos en free floating dans un parking Paris 2024 de 100 places). En d’autres termes, Paris 2024 veille à ce que la demande de vélos en free floating ne vienne pas saturer les parkings au détriment des vélos privés.</w:t>
      </w:r>
    </w:p>
    <w:p w:rsidR="00000000" w:rsidDel="00000000" w:rsidP="00000000" w:rsidRDefault="00000000" w:rsidRPr="00000000" w14:paraId="0000011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360" w:before="720" w:line="240" w:lineRule="auto"/>
        <w:ind w:left="720" w:right="0" w:hanging="360"/>
        <w:jc w:val="both"/>
        <w:rPr/>
      </w:pPr>
      <w:bookmarkStart w:colFirst="0" w:colLast="0" w:name="_heading=h.3as4poj" w:id="27"/>
      <w:bookmarkEnd w:id="27"/>
      <w:r w:rsidDel="00000000" w:rsidR="00000000" w:rsidRPr="00000000">
        <w:rPr>
          <w:rFonts w:ascii="Paris2024" w:cs="Paris2024" w:eastAsia="Paris2024" w:hAnsi="Paris2024"/>
          <w:b w:val="1"/>
          <w:i w:val="0"/>
          <w:smallCaps w:val="0"/>
          <w:strike w:val="0"/>
          <w:color w:val="d6c377"/>
          <w:sz w:val="52"/>
          <w:szCs w:val="52"/>
          <w:u w:val="none"/>
          <w:shd w:fill="auto" w:val="clear"/>
          <w:vertAlign w:val="baseline"/>
          <w:rtl w:val="0"/>
        </w:rPr>
        <w:t xml:space="preserve">Répartition géographique</w:t>
      </w:r>
    </w:p>
    <w:p w:rsidR="00000000" w:rsidDel="00000000" w:rsidP="00000000" w:rsidRDefault="00000000" w:rsidRPr="00000000" w14:paraId="00000114">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1pxezwc" w:id="28"/>
      <w:bookmarkEnd w:id="28"/>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Allotissement</w:t>
      </w:r>
    </w:p>
    <w:p w:rsidR="00000000" w:rsidDel="00000000" w:rsidP="00000000" w:rsidRDefault="00000000" w:rsidRPr="00000000" w14:paraId="00000115">
      <w:pPr>
        <w:rPr/>
      </w:pPr>
      <w:r w:rsidDel="00000000" w:rsidR="00000000" w:rsidRPr="00000000">
        <w:rPr>
          <w:rtl w:val="0"/>
        </w:rPr>
        <w:t xml:space="preserve">Le présent marché est alloti en 10 lots :</w:t>
      </w:r>
    </w:p>
    <w:p w:rsidR="00000000" w:rsidDel="00000000" w:rsidP="00000000" w:rsidRDefault="00000000" w:rsidRPr="00000000" w14:paraId="0000011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Lot 1 : Stationnement vélos des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spectateurs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en zone Ouest</w:t>
      </w:r>
    </w:p>
    <w:p w:rsidR="00000000" w:rsidDel="00000000" w:rsidP="00000000" w:rsidRDefault="00000000" w:rsidRPr="00000000" w14:paraId="0000011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Lot 2 : Stationnement vélos des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spectateurs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en zone Paris Centre</w:t>
      </w:r>
    </w:p>
    <w:p w:rsidR="00000000" w:rsidDel="00000000" w:rsidP="00000000" w:rsidRDefault="00000000" w:rsidRPr="00000000" w14:paraId="0000011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Lot 3 : Stationnement vélos des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spectateurs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en zone Nord</w:t>
      </w:r>
    </w:p>
    <w:p w:rsidR="00000000" w:rsidDel="00000000" w:rsidP="00000000" w:rsidRDefault="00000000" w:rsidRPr="00000000" w14:paraId="0000011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Lot 4 : Stationnement vélos des </w:t>
      </w: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spectateurs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en zone Est</w:t>
      </w:r>
    </w:p>
    <w:p w:rsidR="00000000" w:rsidDel="00000000" w:rsidP="00000000" w:rsidRDefault="00000000" w:rsidRPr="00000000" w14:paraId="0000011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Lot 5 : Stationnement vélos des accrédités en zone Ouest</w:t>
      </w:r>
    </w:p>
    <w:p w:rsidR="00000000" w:rsidDel="00000000" w:rsidP="00000000" w:rsidRDefault="00000000" w:rsidRPr="00000000" w14:paraId="0000011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Lot 6 : Stationnement vélos des accrédités en zone Paris Centre</w:t>
      </w:r>
    </w:p>
    <w:p w:rsidR="00000000" w:rsidDel="00000000" w:rsidP="00000000" w:rsidRDefault="00000000" w:rsidRPr="00000000" w14:paraId="0000011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Lot 7 : Stationnement vélos des accrédités en zone Nord</w:t>
      </w:r>
    </w:p>
    <w:p w:rsidR="00000000" w:rsidDel="00000000" w:rsidP="00000000" w:rsidRDefault="00000000" w:rsidRPr="00000000" w14:paraId="0000011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Lot 8 : Stationnement vélos des accrédités en zone Est</w:t>
      </w:r>
    </w:p>
    <w:p w:rsidR="00000000" w:rsidDel="00000000" w:rsidP="00000000" w:rsidRDefault="00000000" w:rsidRPr="00000000" w14:paraId="0000011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Lot 9 : Stationnement vélo des accrédités en région</w:t>
      </w:r>
    </w:p>
    <w:p w:rsidR="00000000" w:rsidDel="00000000" w:rsidP="00000000" w:rsidRDefault="00000000" w:rsidRPr="00000000" w14:paraId="0000011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Lot 10 : Fourniture et pose d’arceaux en intérieur site de compétition</w:t>
      </w:r>
    </w:p>
    <w:p w:rsidR="00000000" w:rsidDel="00000000" w:rsidP="00000000" w:rsidRDefault="00000000" w:rsidRPr="00000000" w14:paraId="00000120">
      <w:pPr>
        <w:rPr>
          <w:b w:val="1"/>
          <w:highlight w:val="yellow"/>
        </w:rPr>
      </w:pPr>
      <w:r w:rsidDel="00000000" w:rsidR="00000000" w:rsidRPr="00000000">
        <w:rPr>
          <w:rtl w:val="0"/>
        </w:rPr>
      </w:r>
    </w:p>
    <w:p w:rsidR="00000000" w:rsidDel="00000000" w:rsidP="00000000" w:rsidRDefault="00000000" w:rsidRPr="00000000" w14:paraId="00000121">
      <w:pPr>
        <w:rPr>
          <w:b w:val="1"/>
          <w:highlight w:val="yellow"/>
        </w:rPr>
      </w:pPr>
      <w:r w:rsidDel="00000000" w:rsidR="00000000" w:rsidRPr="00000000">
        <w:rPr>
          <w:rtl w:val="0"/>
        </w:rPr>
      </w:r>
    </w:p>
    <w:p w:rsidR="00000000" w:rsidDel="00000000" w:rsidP="00000000" w:rsidRDefault="00000000" w:rsidRPr="00000000" w14:paraId="00000122">
      <w:pPr>
        <w:rPr/>
      </w:pPr>
      <w:r w:rsidDel="00000000" w:rsidR="00000000" w:rsidRPr="00000000">
        <w:rPr>
          <w:b w:val="1"/>
          <w:rtl w:val="0"/>
        </w:rPr>
        <w:t xml:space="preserve">Lots 1 à 4 (cf. paragraphe 3.4) :</w:t>
      </w:r>
      <w:r w:rsidDel="00000000" w:rsidR="00000000" w:rsidRPr="00000000">
        <w:rPr>
          <w:rtl w:val="0"/>
        </w:rPr>
        <w:t xml:space="preserve"> Le détail des sites, jours et session d’activité, volume de stationnement, est présenté en annexe 4. Les localisations précises de chaque zone de stationnement également. En synthèse, le tableau présente l’allotissement du marché. La colonne « Parking » correspond au nombre de places du parking, la colonne « M&amp;P » aux nombres d’heures cumulées de montage et d’exploitation dudit parking.</w:t>
      </w:r>
    </w:p>
    <w:p w:rsidR="00000000" w:rsidDel="00000000" w:rsidP="00000000" w:rsidRDefault="00000000" w:rsidRPr="00000000" w14:paraId="00000123">
      <w:pPr>
        <w:rPr/>
      </w:pPr>
      <w:r w:rsidDel="00000000" w:rsidR="00000000" w:rsidRPr="00000000">
        <w:rPr>
          <w:rtl w:val="0"/>
        </w:rPr>
        <w:t xml:space="preserve"> </w:t>
      </w:r>
    </w:p>
    <w:p w:rsidR="00000000" w:rsidDel="00000000" w:rsidP="00000000" w:rsidRDefault="00000000" w:rsidRPr="00000000" w14:paraId="00000124">
      <w:pPr>
        <w:rPr/>
      </w:pPr>
      <w:r w:rsidDel="00000000" w:rsidR="00000000" w:rsidRPr="00000000">
        <w:rPr>
          <w:rtl w:val="0"/>
        </w:rPr>
      </w:r>
    </w:p>
    <w:tbl>
      <w:tblPr>
        <w:tblStyle w:val="Table1"/>
        <w:tblW w:w="9917.0" w:type="dxa"/>
        <w:jc w:val="left"/>
        <w:tblInd w:w="-147.0" w:type="dxa"/>
        <w:tblLayout w:type="fixed"/>
        <w:tblLook w:val="0400"/>
      </w:tblPr>
      <w:tblGrid>
        <w:gridCol w:w="851"/>
        <w:gridCol w:w="4111"/>
        <w:gridCol w:w="1843"/>
        <w:gridCol w:w="1428"/>
        <w:gridCol w:w="1684"/>
        <w:tblGridChange w:id="0">
          <w:tblGrid>
            <w:gridCol w:w="851"/>
            <w:gridCol w:w="4111"/>
            <w:gridCol w:w="1843"/>
            <w:gridCol w:w="1428"/>
            <w:gridCol w:w="1684"/>
          </w:tblGrid>
        </w:tblGridChange>
      </w:tblGrid>
      <w:tr>
        <w:trPr>
          <w:cantSplit w:val="0"/>
          <w:trHeight w:val="312" w:hRule="atLeast"/>
          <w:tblHeader w:val="0"/>
        </w:trPr>
        <w:tc>
          <w:tcPr>
            <w:tcBorders>
              <w:top w:color="d9d9d9" w:space="0" w:sz="4" w:val="single"/>
              <w:left w:color="d9d9d9" w:space="0" w:sz="4" w:val="single"/>
              <w:bottom w:color="d9d9d9" w:space="0" w:sz="4" w:val="single"/>
              <w:right w:color="d9d9d9" w:space="0" w:sz="4" w:val="single"/>
            </w:tcBorders>
            <w:shd w:fill="7030a0" w:val="clear"/>
            <w:vAlign w:val="center"/>
          </w:tcPr>
          <w:p w:rsidR="00000000" w:rsidDel="00000000" w:rsidP="00000000" w:rsidRDefault="00000000" w:rsidRPr="00000000" w14:paraId="00000125">
            <w:pPr>
              <w:spacing w:line="240" w:lineRule="auto"/>
              <w:jc w:val="lef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Lots </w:t>
            </w:r>
          </w:p>
        </w:tc>
        <w:tc>
          <w:tcPr>
            <w:tcBorders>
              <w:top w:color="d9d9d9" w:space="0" w:sz="4" w:val="single"/>
              <w:left w:color="000000" w:space="0" w:sz="0" w:val="nil"/>
              <w:bottom w:color="d9d9d9" w:space="0" w:sz="4" w:val="single"/>
              <w:right w:color="d9d9d9" w:space="0" w:sz="4" w:val="single"/>
            </w:tcBorders>
            <w:shd w:fill="7030a0" w:val="clear"/>
            <w:vAlign w:val="center"/>
          </w:tcPr>
          <w:p w:rsidR="00000000" w:rsidDel="00000000" w:rsidP="00000000" w:rsidRDefault="00000000" w:rsidRPr="00000000" w14:paraId="00000126">
            <w:pPr>
              <w:spacing w:line="240" w:lineRule="auto"/>
              <w:jc w:val="lef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 Description </w:t>
            </w:r>
          </w:p>
        </w:tc>
        <w:tc>
          <w:tcPr>
            <w:tcBorders>
              <w:top w:color="d9d9d9" w:space="0" w:sz="4" w:val="single"/>
              <w:left w:color="000000" w:space="0" w:sz="0" w:val="nil"/>
              <w:bottom w:color="d9d9d9" w:space="0" w:sz="4" w:val="single"/>
              <w:right w:color="d9d9d9" w:space="0" w:sz="4" w:val="single"/>
            </w:tcBorders>
            <w:shd w:fill="7030a0" w:val="clear"/>
            <w:vAlign w:val="center"/>
          </w:tcPr>
          <w:p w:rsidR="00000000" w:rsidDel="00000000" w:rsidP="00000000" w:rsidRDefault="00000000" w:rsidRPr="00000000" w14:paraId="00000127">
            <w:pPr>
              <w:spacing w:line="240" w:lineRule="auto"/>
              <w:jc w:val="righ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 Nb parkings du lot </w:t>
            </w:r>
          </w:p>
        </w:tc>
        <w:tc>
          <w:tcPr>
            <w:tcBorders>
              <w:top w:color="d9d9d9" w:space="0" w:sz="4" w:val="single"/>
              <w:left w:color="000000" w:space="0" w:sz="0" w:val="nil"/>
              <w:bottom w:color="d9d9d9" w:space="0" w:sz="4" w:val="single"/>
              <w:right w:color="d9d9d9" w:space="0" w:sz="4" w:val="single"/>
            </w:tcBorders>
            <w:shd w:fill="7030a0" w:val="clear"/>
            <w:vAlign w:val="center"/>
          </w:tcPr>
          <w:p w:rsidR="00000000" w:rsidDel="00000000" w:rsidP="00000000" w:rsidRDefault="00000000" w:rsidRPr="00000000" w14:paraId="00000128">
            <w:pPr>
              <w:spacing w:line="240" w:lineRule="auto"/>
              <w:jc w:val="righ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 Nb heures de service M&amp;P </w:t>
            </w:r>
          </w:p>
        </w:tc>
        <w:tc>
          <w:tcPr>
            <w:tcBorders>
              <w:top w:color="d9d9d9" w:space="0" w:sz="4" w:val="single"/>
              <w:left w:color="000000" w:space="0" w:sz="0" w:val="nil"/>
              <w:bottom w:color="d9d9d9" w:space="0" w:sz="4" w:val="single"/>
              <w:right w:color="d9d9d9" w:space="0" w:sz="4" w:val="single"/>
            </w:tcBorders>
            <w:shd w:fill="7030a0" w:val="clear"/>
            <w:vAlign w:val="center"/>
          </w:tcPr>
          <w:p w:rsidR="00000000" w:rsidDel="00000000" w:rsidP="00000000" w:rsidRDefault="00000000" w:rsidRPr="00000000" w14:paraId="00000129">
            <w:pPr>
              <w:spacing w:line="240" w:lineRule="auto"/>
              <w:jc w:val="righ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 Nb de places vélo </w:t>
            </w:r>
          </w:p>
        </w:tc>
      </w:tr>
      <w:tr>
        <w:trPr>
          <w:cantSplit w:val="0"/>
          <w:trHeight w:val="312" w:hRule="atLeast"/>
          <w:tblHeader w:val="0"/>
        </w:trPr>
        <w:tc>
          <w:tcPr>
            <w:tcBorders>
              <w:top w:color="000000" w:space="0" w:sz="0" w:val="nil"/>
              <w:left w:color="d9d9d9" w:space="0" w:sz="4" w:val="single"/>
              <w:bottom w:color="d9d9d9" w:space="0" w:sz="4" w:val="single"/>
              <w:right w:color="d9d9d9" w:space="0" w:sz="4" w:val="single"/>
            </w:tcBorders>
            <w:shd w:fill="7030a0" w:val="clear"/>
            <w:vAlign w:val="center"/>
          </w:tcPr>
          <w:p w:rsidR="00000000" w:rsidDel="00000000" w:rsidP="00000000" w:rsidRDefault="00000000" w:rsidRPr="00000000" w14:paraId="0000012A">
            <w:pPr>
              <w:spacing w:line="240" w:lineRule="auto"/>
              <w:jc w:val="lef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  Lot 1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2B">
            <w:pPr>
              <w:spacing w:line="240" w:lineRule="auto"/>
              <w:jc w:val="lef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Stationnement Vélos Spectateurs Ouest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2C">
            <w:pPr>
              <w:spacing w:line="240" w:lineRule="auto"/>
              <w:jc w:val="righ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                                 12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2D">
            <w:pPr>
              <w:spacing w:line="240" w:lineRule="auto"/>
              <w:jc w:val="righ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                             2600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2E">
            <w:pPr>
              <w:spacing w:line="240" w:lineRule="auto"/>
              <w:jc w:val="righ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  8 100 </w:t>
            </w:r>
          </w:p>
        </w:tc>
      </w:tr>
      <w:tr>
        <w:trPr>
          <w:cantSplit w:val="0"/>
          <w:trHeight w:val="312" w:hRule="atLeast"/>
          <w:tblHeader w:val="0"/>
        </w:trPr>
        <w:tc>
          <w:tcPr>
            <w:tcBorders>
              <w:top w:color="000000" w:space="0" w:sz="0" w:val="nil"/>
              <w:left w:color="d9d9d9" w:space="0" w:sz="4" w:val="single"/>
              <w:bottom w:color="d9d9d9" w:space="0" w:sz="4" w:val="single"/>
              <w:right w:color="d9d9d9" w:space="0" w:sz="4" w:val="single"/>
            </w:tcBorders>
            <w:shd w:fill="7030a0" w:val="clear"/>
            <w:vAlign w:val="center"/>
          </w:tcPr>
          <w:p w:rsidR="00000000" w:rsidDel="00000000" w:rsidP="00000000" w:rsidRDefault="00000000" w:rsidRPr="00000000" w14:paraId="0000012F">
            <w:pPr>
              <w:spacing w:line="240" w:lineRule="auto"/>
              <w:jc w:val="lef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  Lot 2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30">
            <w:pPr>
              <w:spacing w:line="240" w:lineRule="auto"/>
              <w:jc w:val="lef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Stationnement Vélos Spectateurs Paris Centre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31">
            <w:pPr>
              <w:spacing w:line="240" w:lineRule="auto"/>
              <w:jc w:val="righ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                                   7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32">
            <w:pPr>
              <w:spacing w:line="240" w:lineRule="auto"/>
              <w:jc w:val="righ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2 200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33">
            <w:pPr>
              <w:spacing w:line="240" w:lineRule="auto"/>
              <w:jc w:val="righ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                    5 000 </w:t>
            </w:r>
          </w:p>
        </w:tc>
      </w:tr>
      <w:tr>
        <w:trPr>
          <w:cantSplit w:val="0"/>
          <w:trHeight w:val="312" w:hRule="atLeast"/>
          <w:tblHeader w:val="0"/>
        </w:trPr>
        <w:tc>
          <w:tcPr>
            <w:tcBorders>
              <w:top w:color="000000" w:space="0" w:sz="0" w:val="nil"/>
              <w:left w:color="d9d9d9" w:space="0" w:sz="4" w:val="single"/>
              <w:bottom w:color="d9d9d9" w:space="0" w:sz="4" w:val="single"/>
              <w:right w:color="d9d9d9" w:space="0" w:sz="4" w:val="single"/>
            </w:tcBorders>
            <w:shd w:fill="7030a0" w:val="clear"/>
            <w:vAlign w:val="center"/>
          </w:tcPr>
          <w:p w:rsidR="00000000" w:rsidDel="00000000" w:rsidP="00000000" w:rsidRDefault="00000000" w:rsidRPr="00000000" w14:paraId="00000134">
            <w:pPr>
              <w:spacing w:line="240" w:lineRule="auto"/>
              <w:jc w:val="lef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  Lot 3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35">
            <w:pPr>
              <w:spacing w:line="240" w:lineRule="auto"/>
              <w:jc w:val="lef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Stationnement Vélos Spectateurs Nord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36">
            <w:pPr>
              <w:spacing w:line="240" w:lineRule="auto"/>
              <w:jc w:val="righ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                                   6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37">
            <w:pPr>
              <w:spacing w:line="240" w:lineRule="auto"/>
              <w:jc w:val="righ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2 300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38">
            <w:pPr>
              <w:spacing w:line="240" w:lineRule="auto"/>
              <w:jc w:val="righ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4 000 </w:t>
            </w:r>
          </w:p>
        </w:tc>
      </w:tr>
      <w:tr>
        <w:trPr>
          <w:cantSplit w:val="0"/>
          <w:trHeight w:val="312" w:hRule="atLeast"/>
          <w:tblHeader w:val="0"/>
        </w:trPr>
        <w:tc>
          <w:tcPr>
            <w:tcBorders>
              <w:top w:color="000000" w:space="0" w:sz="0" w:val="nil"/>
              <w:left w:color="d9d9d9" w:space="0" w:sz="4" w:val="single"/>
              <w:bottom w:color="d9d9d9" w:space="0" w:sz="4" w:val="single"/>
              <w:right w:color="d9d9d9" w:space="0" w:sz="4" w:val="single"/>
            </w:tcBorders>
            <w:shd w:fill="7030a0" w:val="clear"/>
            <w:vAlign w:val="center"/>
          </w:tcPr>
          <w:p w:rsidR="00000000" w:rsidDel="00000000" w:rsidP="00000000" w:rsidRDefault="00000000" w:rsidRPr="00000000" w14:paraId="00000139">
            <w:pPr>
              <w:spacing w:line="240" w:lineRule="auto"/>
              <w:jc w:val="lef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  Lot 4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3A">
            <w:pPr>
              <w:spacing w:line="240" w:lineRule="auto"/>
              <w:jc w:val="lef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Stationnement Vélos Spectateurs Est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3B">
            <w:pPr>
              <w:spacing w:line="240" w:lineRule="auto"/>
              <w:jc w:val="righ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                                   9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3C">
            <w:pPr>
              <w:spacing w:line="240" w:lineRule="auto"/>
              <w:jc w:val="righ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    1 400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3D">
            <w:pPr>
              <w:spacing w:line="240" w:lineRule="auto"/>
              <w:jc w:val="right"/>
              <w:rPr>
                <w:rFonts w:ascii="Arial Narrow" w:cs="Arial Narrow" w:eastAsia="Arial Narrow" w:hAnsi="Arial Narrow"/>
                <w:b w:val="1"/>
                <w:color w:val="ffffff"/>
                <w:sz w:val="18"/>
                <w:szCs w:val="18"/>
              </w:rPr>
            </w:pPr>
            <w:r w:rsidDel="00000000" w:rsidR="00000000" w:rsidRPr="00000000">
              <w:rPr>
                <w:rFonts w:ascii="Arial Narrow" w:cs="Arial Narrow" w:eastAsia="Arial Narrow" w:hAnsi="Arial Narrow"/>
                <w:b w:val="1"/>
                <w:color w:val="ffffff"/>
                <w:sz w:val="18"/>
                <w:szCs w:val="18"/>
                <w:rtl w:val="0"/>
              </w:rPr>
              <w:t xml:space="preserve">4 500 </w:t>
            </w:r>
          </w:p>
        </w:tc>
      </w:tr>
    </w:tbl>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tl w:val="0"/>
        </w:rPr>
        <w:t xml:space="preserve">M&amp;P correspond au nombre d’heures de montage et d’exploitation des parkings.</w:t>
      </w:r>
    </w:p>
    <w:p w:rsidR="00000000" w:rsidDel="00000000" w:rsidP="00000000" w:rsidRDefault="00000000" w:rsidRPr="00000000" w14:paraId="00000140">
      <w:pPr>
        <w:spacing w:line="24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141">
      <w:pPr>
        <w:jc w:val="center"/>
        <w:rPr/>
      </w:pPr>
      <w:r w:rsidDel="00000000" w:rsidR="00000000" w:rsidRPr="00000000">
        <w:rPr/>
        <w:drawing>
          <wp:inline distB="0" distT="0" distL="0" distR="0">
            <wp:extent cx="4038411" cy="2933702"/>
            <wp:effectExtent b="0" l="0" r="0" t="0"/>
            <wp:docPr id="64"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4038411" cy="2933702"/>
                    </a:xfrm>
                    <a:prstGeom prst="rect"/>
                    <a:ln/>
                  </pic:spPr>
                </pic:pic>
              </a:graphicData>
            </a:graphic>
          </wp:inline>
        </w:drawing>
      </w:r>
      <w:r w:rsidDel="00000000" w:rsidR="00000000" w:rsidRPr="00000000">
        <w:rPr>
          <w:rtl w:val="0"/>
        </w:rPr>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b w:val="1"/>
        </w:rPr>
      </w:pPr>
      <w:r w:rsidDel="00000000" w:rsidR="00000000" w:rsidRPr="00000000">
        <w:rPr>
          <w:b w:val="1"/>
          <w:rtl w:val="0"/>
        </w:rPr>
        <w:t xml:space="preserve">Lots 5 à 9</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tl w:val="0"/>
        </w:rPr>
        <w:t xml:space="preserve">Comme précisé au paragraphe 3.5, le prestataire devra déployer des arceaux simples, sans vestiaire. Comme pour le stationnement des spectateurs, le prestataire est tenu de sécuriser son matériel contre le vol en attachant les arceaux entre eux.</w:t>
      </w:r>
    </w:p>
    <w:p w:rsidR="00000000" w:rsidDel="00000000" w:rsidP="00000000" w:rsidRDefault="00000000" w:rsidRPr="00000000" w14:paraId="00000146">
      <w:pPr>
        <w:rPr/>
      </w:pPr>
      <w:r w:rsidDel="00000000" w:rsidR="00000000" w:rsidRPr="00000000">
        <w:rPr>
          <w:rtl w:val="0"/>
        </w:rPr>
        <w:t xml:space="preserve">Le zones et volumes sont précisés en annexe 3. Ces arceaux seront à démonter / reprendre à l’issue des jeux. Les dates sont plus larges que pour les spectateurs, pour tenir compte des besoins de stationnement pour les staffs en phase de montage / démontage du site.</w:t>
      </w:r>
    </w:p>
    <w:p w:rsidR="00000000" w:rsidDel="00000000" w:rsidP="00000000" w:rsidRDefault="00000000" w:rsidRPr="00000000" w14:paraId="00000147">
      <w:pPr>
        <w:rPr/>
      </w:pPr>
      <w:r w:rsidDel="00000000" w:rsidR="00000000" w:rsidRPr="00000000">
        <w:rPr>
          <w:rtl w:val="0"/>
        </w:rPr>
      </w:r>
    </w:p>
    <w:tbl>
      <w:tblPr>
        <w:tblStyle w:val="Table2"/>
        <w:tblW w:w="9731.0" w:type="dxa"/>
        <w:jc w:val="left"/>
        <w:tblLayout w:type="fixed"/>
        <w:tblLook w:val="0400"/>
      </w:tblPr>
      <w:tblGrid>
        <w:gridCol w:w="1245"/>
        <w:gridCol w:w="4901"/>
        <w:gridCol w:w="1427"/>
        <w:gridCol w:w="2158"/>
        <w:tblGridChange w:id="0">
          <w:tblGrid>
            <w:gridCol w:w="1245"/>
            <w:gridCol w:w="4901"/>
            <w:gridCol w:w="1427"/>
            <w:gridCol w:w="2158"/>
          </w:tblGrid>
        </w:tblGridChange>
      </w:tblGrid>
      <w:tr>
        <w:trPr>
          <w:cantSplit w:val="0"/>
          <w:trHeight w:val="290" w:hRule="atLeast"/>
          <w:tblHeader w:val="0"/>
        </w:trPr>
        <w:tc>
          <w:tcPr>
            <w:tcBorders>
              <w:top w:color="d9d9d9" w:space="0" w:sz="4" w:val="single"/>
              <w:left w:color="d9d9d9" w:space="0" w:sz="4" w:val="single"/>
              <w:bottom w:color="d9d9d9" w:space="0" w:sz="4" w:val="single"/>
              <w:right w:color="d9d9d9" w:space="0" w:sz="4" w:val="single"/>
            </w:tcBorders>
            <w:shd w:fill="7030a0" w:val="clear"/>
            <w:vAlign w:val="center"/>
          </w:tcPr>
          <w:p w:rsidR="00000000" w:rsidDel="00000000" w:rsidP="00000000" w:rsidRDefault="00000000" w:rsidRPr="00000000" w14:paraId="00000148">
            <w:pPr>
              <w:spacing w:line="240" w:lineRule="auto"/>
              <w:jc w:val="lef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Lots </w:t>
            </w:r>
          </w:p>
        </w:tc>
        <w:tc>
          <w:tcPr>
            <w:tcBorders>
              <w:top w:color="d9d9d9" w:space="0" w:sz="4" w:val="single"/>
              <w:left w:color="000000" w:space="0" w:sz="0" w:val="nil"/>
              <w:bottom w:color="d9d9d9" w:space="0" w:sz="4" w:val="single"/>
              <w:right w:color="d9d9d9" w:space="0" w:sz="4" w:val="single"/>
            </w:tcBorders>
            <w:shd w:fill="7030a0" w:val="clear"/>
            <w:vAlign w:val="center"/>
          </w:tcPr>
          <w:p w:rsidR="00000000" w:rsidDel="00000000" w:rsidP="00000000" w:rsidRDefault="00000000" w:rsidRPr="00000000" w14:paraId="00000149">
            <w:pPr>
              <w:spacing w:line="240" w:lineRule="auto"/>
              <w:jc w:val="lef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 Description </w:t>
            </w:r>
          </w:p>
        </w:tc>
        <w:tc>
          <w:tcPr>
            <w:tcBorders>
              <w:top w:color="d9d9d9" w:space="0" w:sz="4" w:val="single"/>
              <w:left w:color="000000" w:space="0" w:sz="0" w:val="nil"/>
              <w:bottom w:color="d9d9d9" w:space="0" w:sz="4" w:val="single"/>
              <w:right w:color="d9d9d9" w:space="0" w:sz="4" w:val="single"/>
            </w:tcBorders>
            <w:shd w:fill="7030a0" w:val="clear"/>
            <w:vAlign w:val="center"/>
          </w:tcPr>
          <w:p w:rsidR="00000000" w:rsidDel="00000000" w:rsidP="00000000" w:rsidRDefault="00000000" w:rsidRPr="00000000" w14:paraId="0000014A">
            <w:pPr>
              <w:spacing w:line="240" w:lineRule="auto"/>
              <w:jc w:val="righ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 Nb parking </w:t>
            </w:r>
          </w:p>
        </w:tc>
        <w:tc>
          <w:tcPr>
            <w:tcBorders>
              <w:top w:color="d9d9d9" w:space="0" w:sz="4" w:val="single"/>
              <w:left w:color="000000" w:space="0" w:sz="0" w:val="nil"/>
              <w:bottom w:color="d9d9d9" w:space="0" w:sz="4" w:val="single"/>
              <w:right w:color="d9d9d9" w:space="0" w:sz="4" w:val="single"/>
            </w:tcBorders>
            <w:shd w:fill="7030a0" w:val="clear"/>
            <w:vAlign w:val="center"/>
          </w:tcPr>
          <w:p w:rsidR="00000000" w:rsidDel="00000000" w:rsidP="00000000" w:rsidRDefault="00000000" w:rsidRPr="00000000" w14:paraId="0000014B">
            <w:pPr>
              <w:spacing w:line="240" w:lineRule="auto"/>
              <w:jc w:val="righ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 Nb de places vélo </w:t>
            </w:r>
          </w:p>
        </w:tc>
      </w:tr>
      <w:tr>
        <w:trPr>
          <w:cantSplit w:val="0"/>
          <w:trHeight w:val="290" w:hRule="atLeast"/>
          <w:tblHeader w:val="0"/>
        </w:trPr>
        <w:tc>
          <w:tcPr>
            <w:tcBorders>
              <w:top w:color="000000" w:space="0" w:sz="0" w:val="nil"/>
              <w:left w:color="d9d9d9" w:space="0" w:sz="4" w:val="single"/>
              <w:bottom w:color="d9d9d9" w:space="0" w:sz="4" w:val="single"/>
              <w:right w:color="d9d9d9" w:space="0" w:sz="4" w:val="single"/>
            </w:tcBorders>
            <w:shd w:fill="7030a0" w:val="clear"/>
            <w:vAlign w:val="center"/>
          </w:tcPr>
          <w:p w:rsidR="00000000" w:rsidDel="00000000" w:rsidP="00000000" w:rsidRDefault="00000000" w:rsidRPr="00000000" w14:paraId="0000014C">
            <w:pPr>
              <w:spacing w:line="240" w:lineRule="auto"/>
              <w:jc w:val="lef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  Lot 5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4D">
            <w:pPr>
              <w:spacing w:line="240" w:lineRule="auto"/>
              <w:jc w:val="lef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 Stationnement Vélos Accrédités Ouest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4E">
            <w:pPr>
              <w:spacing w:line="240" w:lineRule="auto"/>
              <w:jc w:val="righ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13 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4F">
            <w:pPr>
              <w:spacing w:line="240" w:lineRule="auto"/>
              <w:jc w:val="righ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1070 </w:t>
            </w:r>
          </w:p>
        </w:tc>
      </w:tr>
      <w:tr>
        <w:trPr>
          <w:cantSplit w:val="0"/>
          <w:trHeight w:val="290" w:hRule="atLeast"/>
          <w:tblHeader w:val="0"/>
        </w:trPr>
        <w:tc>
          <w:tcPr>
            <w:tcBorders>
              <w:top w:color="000000" w:space="0" w:sz="0" w:val="nil"/>
              <w:left w:color="d9d9d9" w:space="0" w:sz="4" w:val="single"/>
              <w:bottom w:color="d9d9d9" w:space="0" w:sz="4" w:val="single"/>
              <w:right w:color="d9d9d9" w:space="0" w:sz="4" w:val="single"/>
            </w:tcBorders>
            <w:shd w:fill="7030a0" w:val="clear"/>
            <w:vAlign w:val="center"/>
          </w:tcPr>
          <w:p w:rsidR="00000000" w:rsidDel="00000000" w:rsidP="00000000" w:rsidRDefault="00000000" w:rsidRPr="00000000" w14:paraId="00000150">
            <w:pPr>
              <w:spacing w:line="240" w:lineRule="auto"/>
              <w:jc w:val="lef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  Lot 6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51">
            <w:pPr>
              <w:spacing w:line="240" w:lineRule="auto"/>
              <w:jc w:val="lef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 Stationnement Vélos Accrédités Paris Centre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52">
            <w:pPr>
              <w:spacing w:line="240" w:lineRule="auto"/>
              <w:jc w:val="righ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7 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53">
            <w:pPr>
              <w:spacing w:line="240" w:lineRule="auto"/>
              <w:jc w:val="righ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540 </w:t>
            </w:r>
          </w:p>
        </w:tc>
      </w:tr>
      <w:tr>
        <w:trPr>
          <w:cantSplit w:val="0"/>
          <w:trHeight w:val="290" w:hRule="atLeast"/>
          <w:tblHeader w:val="0"/>
        </w:trPr>
        <w:tc>
          <w:tcPr>
            <w:tcBorders>
              <w:top w:color="000000" w:space="0" w:sz="0" w:val="nil"/>
              <w:left w:color="d9d9d9" w:space="0" w:sz="4" w:val="single"/>
              <w:bottom w:color="d9d9d9" w:space="0" w:sz="4" w:val="single"/>
              <w:right w:color="d9d9d9" w:space="0" w:sz="4" w:val="single"/>
            </w:tcBorders>
            <w:shd w:fill="7030a0" w:val="clear"/>
            <w:vAlign w:val="center"/>
          </w:tcPr>
          <w:p w:rsidR="00000000" w:rsidDel="00000000" w:rsidP="00000000" w:rsidRDefault="00000000" w:rsidRPr="00000000" w14:paraId="00000154">
            <w:pPr>
              <w:spacing w:line="240" w:lineRule="auto"/>
              <w:jc w:val="lef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  Lot 7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55">
            <w:pPr>
              <w:spacing w:line="240" w:lineRule="auto"/>
              <w:jc w:val="lef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 Stationnement Vélos Accrédités Nord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56">
            <w:pPr>
              <w:spacing w:line="240" w:lineRule="auto"/>
              <w:jc w:val="righ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5 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57">
            <w:pPr>
              <w:spacing w:line="240" w:lineRule="auto"/>
              <w:jc w:val="righ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605 </w:t>
            </w:r>
          </w:p>
        </w:tc>
      </w:tr>
      <w:tr>
        <w:trPr>
          <w:cantSplit w:val="0"/>
          <w:trHeight w:val="290" w:hRule="atLeast"/>
          <w:tblHeader w:val="0"/>
        </w:trPr>
        <w:tc>
          <w:tcPr>
            <w:tcBorders>
              <w:top w:color="000000" w:space="0" w:sz="0" w:val="nil"/>
              <w:left w:color="d9d9d9" w:space="0" w:sz="4" w:val="single"/>
              <w:bottom w:color="d9d9d9" w:space="0" w:sz="4" w:val="single"/>
              <w:right w:color="d9d9d9" w:space="0" w:sz="4" w:val="single"/>
            </w:tcBorders>
            <w:shd w:fill="7030a0" w:val="clear"/>
            <w:vAlign w:val="center"/>
          </w:tcPr>
          <w:p w:rsidR="00000000" w:rsidDel="00000000" w:rsidP="00000000" w:rsidRDefault="00000000" w:rsidRPr="00000000" w14:paraId="00000158">
            <w:pPr>
              <w:spacing w:line="240" w:lineRule="auto"/>
              <w:jc w:val="lef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  Lot 8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59">
            <w:pPr>
              <w:spacing w:line="240" w:lineRule="auto"/>
              <w:jc w:val="lef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 Stationnement Vélos Accrédités Est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5A">
            <w:pPr>
              <w:spacing w:line="240" w:lineRule="auto"/>
              <w:jc w:val="righ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6 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5B">
            <w:pPr>
              <w:spacing w:line="240" w:lineRule="auto"/>
              <w:jc w:val="righ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430 </w:t>
            </w:r>
          </w:p>
        </w:tc>
      </w:tr>
      <w:tr>
        <w:trPr>
          <w:cantSplit w:val="0"/>
          <w:trHeight w:val="290" w:hRule="atLeast"/>
          <w:tblHeader w:val="0"/>
        </w:trPr>
        <w:tc>
          <w:tcPr>
            <w:tcBorders>
              <w:top w:color="000000" w:space="0" w:sz="0" w:val="nil"/>
              <w:left w:color="d9d9d9" w:space="0" w:sz="4" w:val="single"/>
              <w:bottom w:color="d9d9d9" w:space="0" w:sz="4" w:val="single"/>
              <w:right w:color="d9d9d9" w:space="0" w:sz="4" w:val="single"/>
            </w:tcBorders>
            <w:shd w:fill="7030a0" w:val="clear"/>
            <w:vAlign w:val="center"/>
          </w:tcPr>
          <w:p w:rsidR="00000000" w:rsidDel="00000000" w:rsidP="00000000" w:rsidRDefault="00000000" w:rsidRPr="00000000" w14:paraId="0000015C">
            <w:pPr>
              <w:spacing w:line="240" w:lineRule="auto"/>
              <w:jc w:val="lef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  Lot 9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5D">
            <w:pPr>
              <w:spacing w:line="240" w:lineRule="auto"/>
              <w:jc w:val="lef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 Stationnement Vélos Accrédités Co host Cities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5E">
            <w:pPr>
              <w:spacing w:line="240" w:lineRule="auto"/>
              <w:jc w:val="righ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9 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5F">
            <w:pPr>
              <w:spacing w:line="240" w:lineRule="auto"/>
              <w:jc w:val="righ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740 </w:t>
            </w:r>
          </w:p>
        </w:tc>
      </w:tr>
    </w:tbl>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b w:val="1"/>
        </w:rPr>
      </w:pPr>
      <w:r w:rsidDel="00000000" w:rsidR="00000000" w:rsidRPr="00000000">
        <w:rPr>
          <w:b w:val="1"/>
          <w:rtl w:val="0"/>
        </w:rPr>
        <w:t xml:space="preserve">Lot 10</w:t>
      </w:r>
    </w:p>
    <w:p w:rsidR="00000000" w:rsidDel="00000000" w:rsidP="00000000" w:rsidRDefault="00000000" w:rsidRPr="00000000" w14:paraId="00000163">
      <w:pPr>
        <w:rPr/>
      </w:pPr>
      <w:r w:rsidDel="00000000" w:rsidR="00000000" w:rsidRPr="00000000">
        <w:rPr>
          <w:rtl w:val="0"/>
        </w:rPr>
        <w:t xml:space="preserve">Le prestataire ne sera chargé que de la fourniture et de la pose d’arceaux autoporteurs représentant 550 places de stationnement vélos accrédités à l’intérieur des sites de Versailles (170 places), de Vaires-sur-Marne (100 places), de la marina de Marseille (150 places), de Châteauroux (50 places) et du village de Lille (80 places). Aucun autre service n’est requis de la part du prestataire. Les dates de pose sont le 20 juillet 2024 pour les deux sites et la dépose se fera le 15 août 2024. CF paragraphe 3.5.</w:t>
      </w:r>
    </w:p>
    <w:p w:rsidR="00000000" w:rsidDel="00000000" w:rsidP="00000000" w:rsidRDefault="00000000" w:rsidRPr="00000000" w14:paraId="00000164">
      <w:pPr>
        <w:rPr/>
      </w:pPr>
      <w:r w:rsidDel="00000000" w:rsidR="00000000" w:rsidRPr="00000000">
        <w:rPr>
          <w:rtl w:val="0"/>
        </w:rPr>
      </w:r>
    </w:p>
    <w:tbl>
      <w:tblPr>
        <w:tblStyle w:val="Table3"/>
        <w:tblW w:w="9682.0" w:type="dxa"/>
        <w:jc w:val="left"/>
        <w:tblLayout w:type="fixed"/>
        <w:tblLook w:val="0400"/>
      </w:tblPr>
      <w:tblGrid>
        <w:gridCol w:w="903"/>
        <w:gridCol w:w="5451"/>
        <w:gridCol w:w="1324"/>
        <w:gridCol w:w="2004"/>
        <w:tblGridChange w:id="0">
          <w:tblGrid>
            <w:gridCol w:w="903"/>
            <w:gridCol w:w="5451"/>
            <w:gridCol w:w="1324"/>
            <w:gridCol w:w="2004"/>
          </w:tblGrid>
        </w:tblGridChange>
      </w:tblGrid>
      <w:tr>
        <w:trPr>
          <w:cantSplit w:val="0"/>
          <w:trHeight w:val="329" w:hRule="atLeast"/>
          <w:tblHeader w:val="0"/>
        </w:trPr>
        <w:tc>
          <w:tcPr>
            <w:tcBorders>
              <w:top w:color="d9d9d9" w:space="0" w:sz="4" w:val="single"/>
              <w:left w:color="d9d9d9" w:space="0" w:sz="4" w:val="single"/>
              <w:bottom w:color="d9d9d9" w:space="0" w:sz="4" w:val="single"/>
              <w:right w:color="d9d9d9" w:space="0" w:sz="4" w:val="single"/>
            </w:tcBorders>
            <w:shd w:fill="7030a0" w:val="clear"/>
            <w:vAlign w:val="center"/>
          </w:tcPr>
          <w:p w:rsidR="00000000" w:rsidDel="00000000" w:rsidP="00000000" w:rsidRDefault="00000000" w:rsidRPr="00000000" w14:paraId="00000165">
            <w:pPr>
              <w:spacing w:line="240" w:lineRule="auto"/>
              <w:jc w:val="lef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Lot</w:t>
            </w:r>
          </w:p>
        </w:tc>
        <w:tc>
          <w:tcPr>
            <w:tcBorders>
              <w:top w:color="d9d9d9" w:space="0" w:sz="4" w:val="single"/>
              <w:left w:color="000000" w:space="0" w:sz="0" w:val="nil"/>
              <w:bottom w:color="d9d9d9" w:space="0" w:sz="4" w:val="single"/>
              <w:right w:color="d9d9d9" w:space="0" w:sz="4" w:val="single"/>
            </w:tcBorders>
            <w:shd w:fill="7030a0" w:val="clear"/>
            <w:vAlign w:val="center"/>
          </w:tcPr>
          <w:p w:rsidR="00000000" w:rsidDel="00000000" w:rsidP="00000000" w:rsidRDefault="00000000" w:rsidRPr="00000000" w14:paraId="00000166">
            <w:pPr>
              <w:spacing w:line="240" w:lineRule="auto"/>
              <w:jc w:val="lef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 Description </w:t>
            </w:r>
          </w:p>
        </w:tc>
        <w:tc>
          <w:tcPr>
            <w:tcBorders>
              <w:top w:color="d9d9d9" w:space="0" w:sz="4" w:val="single"/>
              <w:left w:color="000000" w:space="0" w:sz="0" w:val="nil"/>
              <w:bottom w:color="d9d9d9" w:space="0" w:sz="4" w:val="single"/>
              <w:right w:color="d9d9d9" w:space="0" w:sz="4" w:val="single"/>
            </w:tcBorders>
            <w:shd w:fill="7030a0" w:val="clear"/>
            <w:vAlign w:val="center"/>
          </w:tcPr>
          <w:p w:rsidR="00000000" w:rsidDel="00000000" w:rsidP="00000000" w:rsidRDefault="00000000" w:rsidRPr="00000000" w14:paraId="00000167">
            <w:pPr>
              <w:spacing w:line="240" w:lineRule="auto"/>
              <w:jc w:val="righ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 Nb parking </w:t>
            </w:r>
          </w:p>
        </w:tc>
        <w:tc>
          <w:tcPr>
            <w:tcBorders>
              <w:top w:color="d9d9d9" w:space="0" w:sz="4" w:val="single"/>
              <w:left w:color="000000" w:space="0" w:sz="0" w:val="nil"/>
              <w:bottom w:color="d9d9d9" w:space="0" w:sz="4" w:val="single"/>
              <w:right w:color="d9d9d9" w:space="0" w:sz="4" w:val="single"/>
            </w:tcBorders>
            <w:shd w:fill="7030a0" w:val="clear"/>
            <w:vAlign w:val="center"/>
          </w:tcPr>
          <w:p w:rsidR="00000000" w:rsidDel="00000000" w:rsidP="00000000" w:rsidRDefault="00000000" w:rsidRPr="00000000" w14:paraId="00000168">
            <w:pPr>
              <w:spacing w:line="240" w:lineRule="auto"/>
              <w:jc w:val="righ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 Nb de places vélo </w:t>
            </w:r>
          </w:p>
        </w:tc>
      </w:tr>
      <w:tr>
        <w:trPr>
          <w:cantSplit w:val="0"/>
          <w:trHeight w:val="329" w:hRule="atLeast"/>
          <w:tblHeader w:val="0"/>
        </w:trPr>
        <w:tc>
          <w:tcPr>
            <w:tcBorders>
              <w:top w:color="000000" w:space="0" w:sz="0" w:val="nil"/>
              <w:left w:color="d9d9d9" w:space="0" w:sz="4" w:val="single"/>
              <w:bottom w:color="d9d9d9" w:space="0" w:sz="4" w:val="single"/>
              <w:right w:color="d9d9d9" w:space="0" w:sz="4" w:val="single"/>
            </w:tcBorders>
            <w:shd w:fill="7030a0" w:val="clear"/>
            <w:vAlign w:val="center"/>
          </w:tcPr>
          <w:p w:rsidR="00000000" w:rsidDel="00000000" w:rsidP="00000000" w:rsidRDefault="00000000" w:rsidRPr="00000000" w14:paraId="00000169">
            <w:pPr>
              <w:spacing w:line="240" w:lineRule="auto"/>
              <w:jc w:val="lef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  Lot 10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6A">
            <w:pPr>
              <w:spacing w:line="240" w:lineRule="auto"/>
              <w:jc w:val="lef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 Stationnement Vélos Intérieur Sites de compétitions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6B">
            <w:pPr>
              <w:spacing w:line="240" w:lineRule="auto"/>
              <w:jc w:val="righ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5 </w:t>
            </w:r>
          </w:p>
        </w:tc>
        <w:tc>
          <w:tcPr>
            <w:tcBorders>
              <w:top w:color="000000" w:space="0" w:sz="0" w:val="nil"/>
              <w:left w:color="000000" w:space="0" w:sz="0" w:val="nil"/>
              <w:bottom w:color="d9d9d9" w:space="0" w:sz="4" w:val="single"/>
              <w:right w:color="d9d9d9" w:space="0" w:sz="4" w:val="single"/>
            </w:tcBorders>
            <w:shd w:fill="c198e0" w:val="clear"/>
            <w:vAlign w:val="center"/>
          </w:tcPr>
          <w:p w:rsidR="00000000" w:rsidDel="00000000" w:rsidP="00000000" w:rsidRDefault="00000000" w:rsidRPr="00000000" w14:paraId="0000016C">
            <w:pPr>
              <w:spacing w:line="240" w:lineRule="auto"/>
              <w:jc w:val="right"/>
              <w:rPr>
                <w:rFonts w:ascii="Arial Narrow" w:cs="Arial Narrow" w:eastAsia="Arial Narrow" w:hAnsi="Arial Narrow"/>
                <w:b w:val="1"/>
                <w:color w:val="ffffff"/>
                <w:sz w:val="22"/>
                <w:szCs w:val="22"/>
              </w:rPr>
            </w:pPr>
            <w:r w:rsidDel="00000000" w:rsidR="00000000" w:rsidRPr="00000000">
              <w:rPr>
                <w:rFonts w:ascii="Arial Narrow" w:cs="Arial Narrow" w:eastAsia="Arial Narrow" w:hAnsi="Arial Narrow"/>
                <w:b w:val="1"/>
                <w:color w:val="ffffff"/>
                <w:sz w:val="22"/>
                <w:szCs w:val="22"/>
                <w:rtl w:val="0"/>
              </w:rPr>
              <w:t xml:space="preserve">550 </w:t>
            </w:r>
          </w:p>
        </w:tc>
      </w:tr>
    </w:tbl>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360" w:before="720" w:line="240" w:lineRule="auto"/>
        <w:ind w:left="720" w:right="0" w:hanging="360"/>
        <w:jc w:val="both"/>
        <w:rPr/>
      </w:pPr>
      <w:bookmarkStart w:colFirst="0" w:colLast="0" w:name="_heading=h.49x2ik5" w:id="29"/>
      <w:bookmarkEnd w:id="29"/>
      <w:r w:rsidDel="00000000" w:rsidR="00000000" w:rsidRPr="00000000">
        <w:rPr>
          <w:rFonts w:ascii="Paris2024" w:cs="Paris2024" w:eastAsia="Paris2024" w:hAnsi="Paris2024"/>
          <w:b w:val="1"/>
          <w:i w:val="0"/>
          <w:smallCaps w:val="0"/>
          <w:strike w:val="0"/>
          <w:color w:val="d6c377"/>
          <w:sz w:val="52"/>
          <w:szCs w:val="52"/>
          <w:u w:val="none"/>
          <w:shd w:fill="auto" w:val="clear"/>
          <w:vertAlign w:val="baseline"/>
          <w:rtl w:val="0"/>
        </w:rPr>
        <w:t xml:space="preserve">Prix</w:t>
      </w:r>
    </w:p>
    <w:p w:rsidR="00000000" w:rsidDel="00000000" w:rsidP="00000000" w:rsidRDefault="00000000" w:rsidRPr="00000000" w14:paraId="0000016F">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2p2csry" w:id="30"/>
      <w:bookmarkEnd w:id="30"/>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Proposition financière</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Pour chaque lot auquel il candidate, le candidat sera invité à faire une proposition tarifaire en phase offre dans l’annexe « Bordereau de prix ».</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Au sein de chaque lot et pour chaque parking, le candidat renseigne le prix unitaire forfaitaire par parking des éléments suivants : </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0"/>
          <w:szCs w:val="20"/>
          <w:u w:val="single"/>
          <w:shd w:fill="auto" w:val="clear"/>
          <w:vertAlign w:val="baseline"/>
        </w:rPr>
      </w:pP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Tranche ferme :</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Les moyens humains nécessaires à l’exécution des prestations d’accueil des usagers et de prise en charge des vélos et de gestion des vestiaires, les coûts d’opérations et les frais de management de projet associés incluant le reporting</w:t>
      </w:r>
    </w:p>
    <w:p w:rsidR="00000000" w:rsidDel="00000000" w:rsidP="00000000" w:rsidRDefault="00000000" w:rsidRPr="00000000" w14:paraId="0000017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 coût de mise à disposition des arceaux</w:t>
      </w:r>
    </w:p>
    <w:p w:rsidR="00000000" w:rsidDel="00000000" w:rsidP="00000000" w:rsidRDefault="00000000" w:rsidRPr="00000000" w14:paraId="0000017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 coût de mise à disposition de la solution de vestiaire</w:t>
      </w:r>
    </w:p>
    <w:p w:rsidR="00000000" w:rsidDel="00000000" w:rsidP="00000000" w:rsidRDefault="00000000" w:rsidRPr="00000000" w14:paraId="0000017A">
      <w:pPr>
        <w:rPr>
          <w:b w:val="1"/>
          <w:u w:val="single"/>
        </w:rPr>
      </w:pPr>
      <w:r w:rsidDel="00000000" w:rsidR="00000000" w:rsidRPr="00000000">
        <w:rPr>
          <w:rtl w:val="0"/>
        </w:rPr>
      </w:r>
    </w:p>
    <w:p w:rsidR="00000000" w:rsidDel="00000000" w:rsidP="00000000" w:rsidRDefault="00000000" w:rsidRPr="00000000" w14:paraId="0000017B">
      <w:pPr>
        <w:rPr>
          <w:b w:val="1"/>
          <w:u w:val="single"/>
        </w:rPr>
      </w:pPr>
      <w:r w:rsidDel="00000000" w:rsidR="00000000" w:rsidRPr="00000000">
        <w:rPr>
          <w:b w:val="1"/>
          <w:u w:val="single"/>
          <w:rtl w:val="0"/>
        </w:rPr>
        <w:t xml:space="preserve">Tranches optionnelles obligatoires :</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 coût de fabrication et d’installation de la signalétique </w:t>
      </w:r>
    </w:p>
    <w:p w:rsidR="00000000" w:rsidDel="00000000" w:rsidP="00000000" w:rsidRDefault="00000000" w:rsidRPr="00000000" w14:paraId="0000017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 coût de mise à disposition des barrières</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t xml:space="preserve">Afin d’anticiper des évolutions de capacité d’accueil des parkings, le candidat proposera renseignera le prix unitaire des items suivants :</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i w:val="0"/>
          <w:smallCaps w:val="0"/>
          <w:strike w:val="0"/>
          <w:color w:val="000000"/>
          <w:sz w:val="20"/>
          <w:szCs w:val="20"/>
          <w:u w:val="single"/>
          <w:shd w:fill="auto" w:val="clear"/>
          <w:vertAlign w:val="baseline"/>
        </w:rPr>
      </w:pPr>
      <w:r w:rsidDel="00000000" w:rsidR="00000000" w:rsidRPr="00000000">
        <w:rPr>
          <w:rFonts w:ascii="Arial" w:cs="Arial" w:eastAsia="Arial" w:hAnsi="Arial"/>
          <w:b w:val="1"/>
          <w:i w:val="0"/>
          <w:smallCaps w:val="0"/>
          <w:strike w:val="0"/>
          <w:color w:val="000000"/>
          <w:sz w:val="20"/>
          <w:szCs w:val="20"/>
          <w:u w:val="single"/>
          <w:shd w:fill="auto" w:val="clear"/>
          <w:vertAlign w:val="baseline"/>
          <w:rtl w:val="0"/>
        </w:rPr>
        <w:t xml:space="preserve">Tranche ferme :</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Taux horaires personnel d’accueil</w:t>
      </w:r>
    </w:p>
    <w:p w:rsidR="00000000" w:rsidDel="00000000" w:rsidP="00000000" w:rsidRDefault="00000000" w:rsidRPr="00000000" w14:paraId="0000018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Coût unitaire mise à disposition d’un arceau</w:t>
      </w:r>
    </w:p>
    <w:p w:rsidR="00000000" w:rsidDel="00000000" w:rsidP="00000000" w:rsidRDefault="00000000" w:rsidRPr="00000000" w14:paraId="0000018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Coût unitaire mise à disposition d’un vestiaire </w:t>
      </w:r>
    </w:p>
    <w:p w:rsidR="00000000" w:rsidDel="00000000" w:rsidP="00000000" w:rsidRDefault="00000000" w:rsidRPr="00000000" w14:paraId="0000018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Coût rachat arceaux état neuf (100, 500, 1000)</w:t>
      </w:r>
    </w:p>
    <w:p w:rsidR="00000000" w:rsidDel="00000000" w:rsidP="00000000" w:rsidRDefault="00000000" w:rsidRPr="00000000" w14:paraId="0000018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Coût rachat 500 arceaux état d’usage (100, 500, 1000)</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72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b w:val="1"/>
          <w:u w:val="single"/>
        </w:rPr>
      </w:pPr>
      <w:r w:rsidDel="00000000" w:rsidR="00000000" w:rsidRPr="00000000">
        <w:rPr>
          <w:b w:val="1"/>
          <w:u w:val="single"/>
          <w:rtl w:val="0"/>
        </w:rPr>
        <w:t xml:space="preserve">Tranches optionnelles obligatoires :</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Coût unitaire d’un Oriflamme / Drapeau publicitaire</w:t>
      </w:r>
    </w:p>
    <w:p w:rsidR="00000000" w:rsidDel="00000000" w:rsidP="00000000" w:rsidRDefault="00000000" w:rsidRPr="00000000" w14:paraId="0000018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Coût unitaire d’un habillage barriérage </w:t>
      </w:r>
    </w:p>
    <w:p w:rsidR="00000000" w:rsidDel="00000000" w:rsidP="00000000" w:rsidRDefault="00000000" w:rsidRPr="00000000" w14:paraId="0000018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Coût au mètre linéaire mise à disposition des barrières</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72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Les coûts de mise à disposition intègrent les frais logistiques et de transport nécessaires à la mise en place et au repli des solutions.</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t xml:space="preserve">L‘onglet instruction de l’annexe financière reprend de manière exhaustive l’ensemble des frais inclus.</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Paris2024" w:cs="Paris2024" w:eastAsia="Paris2024" w:hAnsi="Paris2024"/>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t xml:space="preserve">Les prix seront réputés comprendre toutes les charges fiscales, parafiscales ou autres frappant obligatoirement la Prestation ainsi que tous les frais afférents à la bonne exécution de la Prestation (frais de communications téléphoniques, d’usage d’Internet, de télécopieur, de photocopieur, etc.) et ce pendant toute la période du marché. </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Les prix s’entendront pour le temps nécessaire à la réalisation complète de la Prestation. </w:t>
      </w:r>
    </w:p>
    <w:p w:rsidR="00000000" w:rsidDel="00000000" w:rsidP="00000000" w:rsidRDefault="00000000" w:rsidRPr="00000000" w14:paraId="00000198">
      <w:pPr>
        <w:rPr/>
      </w:pPr>
      <w:r w:rsidDel="00000000" w:rsidR="00000000" w:rsidRPr="00000000">
        <w:rPr>
          <w:rtl w:val="0"/>
        </w:rPr>
        <w:t xml:space="preserve">Ils seront fermes et définitifs.</w:t>
      </w:r>
    </w:p>
    <w:p w:rsidR="00000000" w:rsidDel="00000000" w:rsidP="00000000" w:rsidRDefault="00000000" w:rsidRPr="00000000" w14:paraId="00000199">
      <w:pPr>
        <w:rPr/>
      </w:pPr>
      <w:r w:rsidDel="00000000" w:rsidR="00000000" w:rsidRPr="00000000">
        <w:rPr>
          <w:rtl w:val="0"/>
        </w:rPr>
        <w:t xml:space="preserve">Les prix indiqués par le Prestataire devront intégrer la prise en charge financière et logistique restauration et hébergement de son personnel le cas échéant.</w:t>
      </w:r>
    </w:p>
    <w:p w:rsidR="00000000" w:rsidDel="00000000" w:rsidP="00000000" w:rsidRDefault="00000000" w:rsidRPr="00000000" w14:paraId="0000019A">
      <w:pPr>
        <w:rPr/>
      </w:pPr>
      <w:r w:rsidDel="00000000" w:rsidR="00000000" w:rsidRPr="00000000">
        <w:rPr>
          <w:rtl w:val="0"/>
        </w:rPr>
        <w:t xml:space="preserve">Aucun coût supplémentaire ne pourra être imputé par la suite à Paris 2024.</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Chaque candidat doit obligatoirement chiffrer l’ensemble des prix unitaires du BPU y compris les tranches optionnelles.</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Ces réponses seront prises en compte dans l’analyse de son offre. À défaut de répondre à toutes les lignes du BPU, l’offre du candidat sera considérée comme incomplète et pourra être rejetée pour ce motif. </w:t>
      </w:r>
    </w:p>
    <w:p w:rsidR="00000000" w:rsidDel="00000000" w:rsidP="00000000" w:rsidRDefault="00000000" w:rsidRPr="00000000" w14:paraId="0000019F">
      <w:pPr>
        <w:rPr/>
      </w:pPr>
      <w:r w:rsidDel="00000000" w:rsidR="00000000" w:rsidRPr="00000000">
        <w:rPr>
          <w:rtl w:val="0"/>
        </w:rPr>
        <w:t xml:space="preserve">Les candidats seront évalués sur la base des quantités renseignées dans le DQE. Ces quantités n’ont pas de valeur contractuelle.</w:t>
      </w:r>
    </w:p>
    <w:p w:rsidR="00000000" w:rsidDel="00000000" w:rsidP="00000000" w:rsidRDefault="00000000" w:rsidRPr="00000000" w14:paraId="000001A0">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147n2zr" w:id="31"/>
      <w:bookmarkEnd w:id="31"/>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Mise en œuvre, coordination et gestion de services associées</w:t>
      </w:r>
    </w:p>
    <w:p w:rsidR="00000000" w:rsidDel="00000000" w:rsidP="00000000" w:rsidRDefault="00000000" w:rsidRPr="00000000" w14:paraId="000001A1">
      <w:pPr>
        <w:rPr/>
      </w:pPr>
      <w:r w:rsidDel="00000000" w:rsidR="00000000" w:rsidRPr="00000000">
        <w:rPr>
          <w:rtl w:val="0"/>
        </w:rPr>
        <w:t xml:space="preserve">Le candidat proposera intègre dans son prix par lot et par site les frais de mise en place du contrat, les repérages et le pilotage de la prestation. « Coût des services accueil », les reportings.</w:t>
      </w:r>
    </w:p>
    <w:p w:rsidR="00000000" w:rsidDel="00000000" w:rsidP="00000000" w:rsidRDefault="00000000" w:rsidRPr="00000000" w14:paraId="000001A2">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3o7alnk" w:id="32"/>
      <w:bookmarkEnd w:id="32"/>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Conditions d’annulation</w:t>
      </w:r>
    </w:p>
    <w:p w:rsidR="00000000" w:rsidDel="00000000" w:rsidP="00000000" w:rsidRDefault="00000000" w:rsidRPr="00000000" w14:paraId="000001A3">
      <w:pPr>
        <w:rPr/>
      </w:pPr>
      <w:r w:rsidDel="00000000" w:rsidR="00000000" w:rsidRPr="00000000">
        <w:rPr>
          <w:rtl w:val="0"/>
        </w:rPr>
        <w:t xml:space="preserve">Paris 2024 peut prononcer la résiliation totale ou partielle du présent Contrat pour convenance, pour tout motif lié à l'organisation des Jeux, et notamment si en cours d'exécution du Contrat, un partenariat marketing venait à être mis en place concernant tout ou partie des Prestations commandées au Prestataire. Dans ce cas, la résiliation porte uniquement sur les Prestations impactées par le partenariat marketing.</w:t>
      </w:r>
    </w:p>
    <w:p w:rsidR="00000000" w:rsidDel="00000000" w:rsidP="00000000" w:rsidRDefault="00000000" w:rsidRPr="00000000" w14:paraId="000001A4">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23ckvvd" w:id="33"/>
      <w:bookmarkEnd w:id="33"/>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Option d’achat</w:t>
      </w:r>
    </w:p>
    <w:p w:rsidR="00000000" w:rsidDel="00000000" w:rsidP="00000000" w:rsidRDefault="00000000" w:rsidRPr="00000000" w14:paraId="000001A5">
      <w:pPr>
        <w:rPr/>
      </w:pPr>
      <w:r w:rsidDel="00000000" w:rsidR="00000000" w:rsidRPr="00000000">
        <w:rPr>
          <w:rtl w:val="0"/>
        </w:rPr>
        <w:t xml:space="preserve">Paris 2024 ne fait pas l’acquisition du matériel mais demande une mise à disposition de ce dernier.</w:t>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rPr/>
      </w:pPr>
      <w:r w:rsidDel="00000000" w:rsidR="00000000" w:rsidRPr="00000000">
        <w:rPr>
          <w:rtl w:val="0"/>
        </w:rPr>
        <w:t xml:space="preserve">Il est cependant demandé au prestataire de chiffrer la revente, aux collectivités, d’arceaux utilisés pendant les jeux, aux quantités ci-après. Le chiffrage doit inclure la livraison auprès des collectivités qui auront exprimé un intérêt sur la base des prix proposés par le prestataire. Ces collectivités sont nécessairement dans l’environnement direct des Jeux. Le prestataire précisera l’état des arceaux entendu pour ces prix, de photos-types à l’appui.  </w:t>
      </w:r>
    </w:p>
    <w:p w:rsidR="00000000" w:rsidDel="00000000" w:rsidP="00000000" w:rsidRDefault="00000000" w:rsidRPr="00000000" w14:paraId="000001A8">
      <w:pPr>
        <w:rPr/>
      </w:pPr>
      <w:r w:rsidDel="00000000" w:rsidR="00000000" w:rsidRPr="00000000">
        <w:rPr>
          <w:rtl w:val="0"/>
        </w:rPr>
      </w:r>
    </w:p>
    <w:tbl>
      <w:tblPr>
        <w:tblStyle w:val="Table4"/>
        <w:tblW w:w="7327.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2442"/>
        <w:gridCol w:w="2442"/>
        <w:gridCol w:w="2443"/>
        <w:tblGridChange w:id="0">
          <w:tblGrid>
            <w:gridCol w:w="2442"/>
            <w:gridCol w:w="2442"/>
            <w:gridCol w:w="2443"/>
          </w:tblGrid>
        </w:tblGridChange>
      </w:tblGrid>
      <w:tr>
        <w:trPr>
          <w:cantSplit w:val="0"/>
          <w:tblHeader w:val="0"/>
        </w:trPr>
        <w:tc>
          <w:tcPr/>
          <w:p w:rsidR="00000000" w:rsidDel="00000000" w:rsidP="00000000" w:rsidRDefault="00000000" w:rsidRPr="00000000" w14:paraId="000001A9">
            <w:pPr>
              <w:jc w:val="center"/>
              <w:rPr>
                <w:b w:val="0"/>
              </w:rPr>
            </w:pPr>
            <w:r w:rsidDel="00000000" w:rsidR="00000000" w:rsidRPr="00000000">
              <w:rPr>
                <w:rtl w:val="0"/>
              </w:rPr>
              <w:t xml:space="preserve">Volume</w:t>
            </w:r>
            <w:r w:rsidDel="00000000" w:rsidR="00000000" w:rsidRPr="00000000">
              <w:rPr>
                <w:rtl w:val="0"/>
              </w:rPr>
            </w:r>
          </w:p>
        </w:tc>
        <w:tc>
          <w:tcPr/>
          <w:p w:rsidR="00000000" w:rsidDel="00000000" w:rsidP="00000000" w:rsidRDefault="00000000" w:rsidRPr="00000000" w14:paraId="000001AA">
            <w:pPr>
              <w:jc w:val="center"/>
              <w:rPr>
                <w:b w:val="0"/>
              </w:rPr>
            </w:pPr>
            <w:r w:rsidDel="00000000" w:rsidR="00000000" w:rsidRPr="00000000">
              <w:rPr>
                <w:rtl w:val="0"/>
              </w:rPr>
              <w:t xml:space="preserve">Etat neuf</w:t>
            </w:r>
            <w:r w:rsidDel="00000000" w:rsidR="00000000" w:rsidRPr="00000000">
              <w:rPr>
                <w:rtl w:val="0"/>
              </w:rPr>
            </w:r>
          </w:p>
        </w:tc>
        <w:tc>
          <w:tcPr/>
          <w:p w:rsidR="00000000" w:rsidDel="00000000" w:rsidP="00000000" w:rsidRDefault="00000000" w:rsidRPr="00000000" w14:paraId="000001AB">
            <w:pPr>
              <w:jc w:val="center"/>
              <w:rPr>
                <w:b w:val="0"/>
              </w:rPr>
            </w:pPr>
            <w:r w:rsidDel="00000000" w:rsidR="00000000" w:rsidRPr="00000000">
              <w:rPr>
                <w:rtl w:val="0"/>
              </w:rPr>
              <w:t xml:space="preserve">Etat d’usage</w:t>
            </w:r>
            <w:r w:rsidDel="00000000" w:rsidR="00000000" w:rsidRPr="00000000">
              <w:rPr>
                <w:rtl w:val="0"/>
              </w:rPr>
            </w:r>
          </w:p>
        </w:tc>
      </w:tr>
      <w:tr>
        <w:trPr>
          <w:cantSplit w:val="0"/>
          <w:tblHeader w:val="0"/>
        </w:trPr>
        <w:tc>
          <w:tcPr/>
          <w:p w:rsidR="00000000" w:rsidDel="00000000" w:rsidP="00000000" w:rsidRDefault="00000000" w:rsidRPr="00000000" w14:paraId="000001AC">
            <w:pPr>
              <w:jc w:val="center"/>
              <w:rPr>
                <w:b w:val="0"/>
              </w:rPr>
            </w:pPr>
            <w:r w:rsidDel="00000000" w:rsidR="00000000" w:rsidRPr="00000000">
              <w:rPr>
                <w:b w:val="0"/>
                <w:rtl w:val="0"/>
              </w:rPr>
              <w:t xml:space="preserve">100 arceaux</w:t>
            </w:r>
          </w:p>
        </w:tc>
        <w:tc>
          <w:tcPr/>
          <w:p w:rsidR="00000000" w:rsidDel="00000000" w:rsidP="00000000" w:rsidRDefault="00000000" w:rsidRPr="00000000" w14:paraId="000001AD">
            <w:pPr>
              <w:jc w:val="center"/>
              <w:rPr/>
            </w:pPr>
            <w:r w:rsidDel="00000000" w:rsidR="00000000" w:rsidRPr="00000000">
              <w:rPr>
                <w:rtl w:val="0"/>
              </w:rPr>
              <w:t xml:space="preserve">€ HT</w:t>
            </w:r>
          </w:p>
        </w:tc>
        <w:tc>
          <w:tcPr/>
          <w:p w:rsidR="00000000" w:rsidDel="00000000" w:rsidP="00000000" w:rsidRDefault="00000000" w:rsidRPr="00000000" w14:paraId="000001AE">
            <w:pPr>
              <w:jc w:val="center"/>
              <w:rPr/>
            </w:pPr>
            <w:r w:rsidDel="00000000" w:rsidR="00000000" w:rsidRPr="00000000">
              <w:rPr>
                <w:rtl w:val="0"/>
              </w:rPr>
              <w:t xml:space="preserve">€ HT</w:t>
            </w:r>
          </w:p>
        </w:tc>
      </w:tr>
      <w:tr>
        <w:trPr>
          <w:cantSplit w:val="0"/>
          <w:tblHeader w:val="0"/>
        </w:trPr>
        <w:tc>
          <w:tcPr/>
          <w:p w:rsidR="00000000" w:rsidDel="00000000" w:rsidP="00000000" w:rsidRDefault="00000000" w:rsidRPr="00000000" w14:paraId="000001AF">
            <w:pPr>
              <w:jc w:val="center"/>
              <w:rPr>
                <w:b w:val="0"/>
              </w:rPr>
            </w:pPr>
            <w:r w:rsidDel="00000000" w:rsidR="00000000" w:rsidRPr="00000000">
              <w:rPr>
                <w:b w:val="0"/>
                <w:rtl w:val="0"/>
              </w:rPr>
              <w:t xml:space="preserve">500 arceaux</w:t>
            </w:r>
          </w:p>
        </w:tc>
        <w:tc>
          <w:tcPr/>
          <w:p w:rsidR="00000000" w:rsidDel="00000000" w:rsidP="00000000" w:rsidRDefault="00000000" w:rsidRPr="00000000" w14:paraId="000001B0">
            <w:pPr>
              <w:jc w:val="center"/>
              <w:rPr/>
            </w:pPr>
            <w:r w:rsidDel="00000000" w:rsidR="00000000" w:rsidRPr="00000000">
              <w:rPr>
                <w:rtl w:val="0"/>
              </w:rPr>
              <w:t xml:space="preserve">€ HT</w:t>
            </w:r>
          </w:p>
        </w:tc>
        <w:tc>
          <w:tcPr/>
          <w:p w:rsidR="00000000" w:rsidDel="00000000" w:rsidP="00000000" w:rsidRDefault="00000000" w:rsidRPr="00000000" w14:paraId="000001B1">
            <w:pPr>
              <w:jc w:val="center"/>
              <w:rPr/>
            </w:pPr>
            <w:r w:rsidDel="00000000" w:rsidR="00000000" w:rsidRPr="00000000">
              <w:rPr>
                <w:rtl w:val="0"/>
              </w:rPr>
              <w:t xml:space="preserve">€ HT</w:t>
            </w:r>
          </w:p>
        </w:tc>
      </w:tr>
      <w:tr>
        <w:trPr>
          <w:cantSplit w:val="0"/>
          <w:tblHeader w:val="0"/>
        </w:trPr>
        <w:tc>
          <w:tcPr/>
          <w:p w:rsidR="00000000" w:rsidDel="00000000" w:rsidP="00000000" w:rsidRDefault="00000000" w:rsidRPr="00000000" w14:paraId="000001B2">
            <w:pPr>
              <w:jc w:val="center"/>
              <w:rPr>
                <w:b w:val="0"/>
              </w:rPr>
            </w:pPr>
            <w:r w:rsidDel="00000000" w:rsidR="00000000" w:rsidRPr="00000000">
              <w:rPr>
                <w:b w:val="0"/>
                <w:rtl w:val="0"/>
              </w:rPr>
              <w:t xml:space="preserve">1000 arceaux</w:t>
            </w:r>
          </w:p>
        </w:tc>
        <w:tc>
          <w:tcPr/>
          <w:p w:rsidR="00000000" w:rsidDel="00000000" w:rsidP="00000000" w:rsidRDefault="00000000" w:rsidRPr="00000000" w14:paraId="000001B3">
            <w:pPr>
              <w:jc w:val="center"/>
              <w:rPr/>
            </w:pPr>
            <w:r w:rsidDel="00000000" w:rsidR="00000000" w:rsidRPr="00000000">
              <w:rPr>
                <w:rtl w:val="0"/>
              </w:rPr>
              <w:t xml:space="preserve">€ HT</w:t>
            </w:r>
          </w:p>
        </w:tc>
        <w:tc>
          <w:tcPr/>
          <w:p w:rsidR="00000000" w:rsidDel="00000000" w:rsidP="00000000" w:rsidRDefault="00000000" w:rsidRPr="00000000" w14:paraId="000001B4">
            <w:pPr>
              <w:jc w:val="center"/>
              <w:rPr/>
            </w:pPr>
            <w:r w:rsidDel="00000000" w:rsidR="00000000" w:rsidRPr="00000000">
              <w:rPr>
                <w:rtl w:val="0"/>
              </w:rPr>
              <w:t xml:space="preserve">€ HT</w:t>
            </w:r>
          </w:p>
        </w:tc>
      </w:tr>
    </w:tbl>
    <w:p w:rsidR="00000000" w:rsidDel="00000000" w:rsidP="00000000" w:rsidRDefault="00000000" w:rsidRPr="00000000" w14:paraId="000001B5">
      <w:pPr>
        <w:spacing w:line="240" w:lineRule="auto"/>
        <w:jc w:val="left"/>
        <w:rPr/>
      </w:pPr>
      <w:r w:rsidDel="00000000" w:rsidR="00000000" w:rsidRPr="00000000">
        <w:rPr>
          <w:rtl w:val="0"/>
        </w:rPr>
      </w:r>
    </w:p>
    <w:p w:rsidR="00000000" w:rsidDel="00000000" w:rsidP="00000000" w:rsidRDefault="00000000" w:rsidRPr="00000000" w14:paraId="000001B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360" w:before="720" w:line="240" w:lineRule="auto"/>
        <w:ind w:left="720" w:right="0" w:hanging="360"/>
        <w:jc w:val="both"/>
        <w:rPr/>
      </w:pPr>
      <w:bookmarkStart w:colFirst="0" w:colLast="0" w:name="_heading=h.ihv636" w:id="34"/>
      <w:bookmarkEnd w:id="34"/>
      <w:r w:rsidDel="00000000" w:rsidR="00000000" w:rsidRPr="00000000">
        <w:rPr>
          <w:rFonts w:ascii="Paris2024" w:cs="Paris2024" w:eastAsia="Paris2024" w:hAnsi="Paris2024"/>
          <w:b w:val="1"/>
          <w:i w:val="0"/>
          <w:smallCaps w:val="0"/>
          <w:strike w:val="0"/>
          <w:color w:val="d6c377"/>
          <w:sz w:val="52"/>
          <w:szCs w:val="52"/>
          <w:u w:val="none"/>
          <w:shd w:fill="auto" w:val="clear"/>
          <w:vertAlign w:val="baseline"/>
          <w:rtl w:val="0"/>
        </w:rPr>
        <w:t xml:space="preserve">Conditions </w:t>
      </w:r>
    </w:p>
    <w:p w:rsidR="00000000" w:rsidDel="00000000" w:rsidP="00000000" w:rsidRDefault="00000000" w:rsidRPr="00000000" w14:paraId="000001B7">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32hioqz" w:id="35"/>
      <w:bookmarkEnd w:id="35"/>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Marques sur site</w:t>
      </w:r>
    </w:p>
    <w:p w:rsidR="00000000" w:rsidDel="00000000" w:rsidP="00000000" w:rsidRDefault="00000000" w:rsidRPr="00000000" w14:paraId="000001B8">
      <w:pPr>
        <w:rPr/>
      </w:pPr>
      <w:r w:rsidDel="00000000" w:rsidR="00000000" w:rsidRPr="00000000">
        <w:rPr>
          <w:rtl w:val="0"/>
        </w:rPr>
        <w:t xml:space="preserve">S’agissant de services opérés sur l’espace public, les prestataires doivent être </w:t>
      </w:r>
      <w:r w:rsidDel="00000000" w:rsidR="00000000" w:rsidRPr="00000000">
        <w:rPr>
          <w:b w:val="1"/>
          <w:rtl w:val="0"/>
        </w:rPr>
        <w:t xml:space="preserve">assurés</w:t>
      </w:r>
      <w:r w:rsidDel="00000000" w:rsidR="00000000" w:rsidRPr="00000000">
        <w:rPr>
          <w:rtl w:val="0"/>
        </w:rPr>
        <w:t xml:space="preserve"> pour opérer leur service. La règle du </w:t>
      </w:r>
      <w:r w:rsidDel="00000000" w:rsidR="00000000" w:rsidRPr="00000000">
        <w:rPr>
          <w:b w:val="1"/>
          <w:rtl w:val="0"/>
        </w:rPr>
        <w:t xml:space="preserve">Clean Venue</w:t>
      </w:r>
      <w:r w:rsidDel="00000000" w:rsidR="00000000" w:rsidRPr="00000000">
        <w:rPr>
          <w:rtl w:val="0"/>
        </w:rPr>
        <w:t xml:space="preserve"> s’appliquera et le personnel du Titulaire devra être équipé avec des tenues de travail en très bon état général, adaptées à la prestation à effectuer par le personnel concerné, </w:t>
      </w:r>
      <w:r w:rsidDel="00000000" w:rsidR="00000000" w:rsidRPr="00000000">
        <w:rPr>
          <w:b w:val="1"/>
          <w:rtl w:val="0"/>
        </w:rPr>
        <w:t xml:space="preserve">sans logo ou marque d’aucune sorte</w:t>
      </w:r>
      <w:r w:rsidDel="00000000" w:rsidR="00000000" w:rsidRPr="00000000">
        <w:rPr>
          <w:rtl w:val="0"/>
        </w:rPr>
        <w:t xml:space="preserve">. Ces tenues devront être approuvées en amont de la phase opérationnelle par Paris 2024.   </w:t>
      </w:r>
    </w:p>
    <w:p w:rsidR="00000000" w:rsidDel="00000000" w:rsidP="00000000" w:rsidRDefault="00000000" w:rsidRPr="00000000" w14:paraId="000001B9">
      <w:pPr>
        <w:rPr/>
      </w:pPr>
      <w:r w:rsidDel="00000000" w:rsidR="00000000" w:rsidRPr="00000000">
        <w:rPr>
          <w:rtl w:val="0"/>
        </w:rPr>
        <w:t xml:space="preserve">Les caractéristiques attendues de la tenue vestimentaire sont les suivantes :   </w:t>
      </w:r>
    </w:p>
    <w:p w:rsidR="00000000" w:rsidDel="00000000" w:rsidP="00000000" w:rsidRDefault="00000000" w:rsidRPr="00000000" w14:paraId="000001B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Être facilement identifiable par les athlètes, les membres des délégations et les membres du staff Paris 2024 ;  </w:t>
      </w:r>
    </w:p>
    <w:p w:rsidR="00000000" w:rsidDel="00000000" w:rsidP="00000000" w:rsidRDefault="00000000" w:rsidRPr="00000000" w14:paraId="000001B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Être de bonne qualité et avec un design reprenant au mieux le kit of parts de Paris2024. </w:t>
      </w:r>
    </w:p>
    <w:p w:rsidR="00000000" w:rsidDel="00000000" w:rsidP="00000000" w:rsidRDefault="00000000" w:rsidRPr="00000000" w14:paraId="000001B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 pas faire apparaitre de logo ou de marque d’aucune sorte.  </w:t>
      </w:r>
    </w:p>
    <w:p w:rsidR="00000000" w:rsidDel="00000000" w:rsidP="00000000" w:rsidRDefault="00000000" w:rsidRPr="00000000" w14:paraId="000001BD">
      <w:pPr>
        <w:rPr/>
      </w:pPr>
      <w:r w:rsidDel="00000000" w:rsidR="00000000" w:rsidRPr="00000000">
        <w:rPr>
          <w:rtl w:val="0"/>
        </w:rPr>
        <w:t xml:space="preserve">Paris 2024 se réserve le droit d’imposer la couleur des différents éléments composant l’uniforme.  </w:t>
      </w:r>
    </w:p>
    <w:p w:rsidR="00000000" w:rsidDel="00000000" w:rsidP="00000000" w:rsidRDefault="00000000" w:rsidRPr="00000000" w14:paraId="000001BE">
      <w:pPr>
        <w:rPr/>
      </w:pPr>
      <w:r w:rsidDel="00000000" w:rsidR="00000000" w:rsidRPr="00000000">
        <w:rPr>
          <w:rtl w:val="0"/>
        </w:rPr>
        <w:t xml:space="preserve">Le Titulaire a l’obligation de s’assurer que ses personnels aient toujours une tenue propre et en bon état général pendant toute la durée de l’événement.  </w:t>
      </w:r>
    </w:p>
    <w:p w:rsidR="00000000" w:rsidDel="00000000" w:rsidP="00000000" w:rsidRDefault="00000000" w:rsidRPr="00000000" w14:paraId="000001BF">
      <w:pPr>
        <w:rPr/>
      </w:pPr>
      <w:r w:rsidDel="00000000" w:rsidR="00000000" w:rsidRPr="00000000">
        <w:rPr>
          <w:rtl w:val="0"/>
        </w:rPr>
        <w:t xml:space="preserve">La fourniture des tenues et leur entretien (nettoyage, remplacement le cas échéant) sont à la charge du Titulaire. Ce coût est réputé intégré dans les prix du Titulaire intégrés dans la DPGF.  </w:t>
      </w:r>
    </w:p>
    <w:p w:rsidR="00000000" w:rsidDel="00000000" w:rsidP="00000000" w:rsidRDefault="00000000" w:rsidRPr="00000000" w14:paraId="000001C0">
      <w:pPr>
        <w:rPr/>
      </w:pPr>
      <w:r w:rsidDel="00000000" w:rsidR="00000000" w:rsidRPr="00000000">
        <w:rPr>
          <w:rtl w:val="0"/>
        </w:rPr>
        <w:t xml:space="preserve"> </w:t>
      </w:r>
    </w:p>
    <w:p w:rsidR="00000000" w:rsidDel="00000000" w:rsidP="00000000" w:rsidRDefault="00000000" w:rsidRPr="00000000" w14:paraId="000001C1">
      <w:pPr>
        <w:rPr/>
      </w:pPr>
      <w:r w:rsidDel="00000000" w:rsidR="00000000" w:rsidRPr="00000000">
        <w:rPr>
          <w:rtl w:val="0"/>
        </w:rPr>
        <w:t xml:space="preserve">Les Candidats devront préciser dans leur mémoire technique comment ils souhaitent s’organiser pour la gestion des uniformes : livraisons sur site ou fourniture des uniformes avant l’arrivée sur site. Ils pourront aussi proposer un exemple d’uniforme.  </w:t>
      </w:r>
    </w:p>
    <w:p w:rsidR="00000000" w:rsidDel="00000000" w:rsidP="00000000" w:rsidRDefault="00000000" w:rsidRPr="00000000" w14:paraId="000001C2">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pPr>
      <w:bookmarkStart w:colFirst="0" w:colLast="0" w:name="_heading=h.1hmsyys" w:id="36"/>
      <w:bookmarkEnd w:id="36"/>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Communication externe</w:t>
      </w:r>
    </w:p>
    <w:p w:rsidR="00000000" w:rsidDel="00000000" w:rsidP="00000000" w:rsidRDefault="00000000" w:rsidRPr="00000000" w14:paraId="000001C3">
      <w:pPr>
        <w:rPr/>
      </w:pPr>
      <w:r w:rsidDel="00000000" w:rsidR="00000000" w:rsidRPr="00000000">
        <w:rPr>
          <w:rtl w:val="0"/>
        </w:rPr>
        <w:t xml:space="preserve">Bien que désigné comme lauréat, le prestataire ne pourra pas communiquer sur l’obtention du marché. Il ne pourra pas associer sa marque à celle de Paris 2024, des Jeux Olympiques et Paralympiques de Paris 2024, du Comité International Olympique, du Comité International Paralympique. Toute communication sur son site internet, sur les réseaux sociaux sera donc proscrite avant et pendant les jeux. </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De façon plus générale, le Prestataire reconnaît que les Propriétés Olympiques désignant l'événement sportif mondialement connu, propriété exclusive du CIO - les Jeux Olympiques - ainsi que les produits et services afférents à leur organisation, sont protégés en France par le droit de la propriété intellectuelle, et notamment, le cas échéant, en tant que marques d'usage notoire.</w:t>
      </w:r>
    </w:p>
    <w:p w:rsidR="00000000" w:rsidDel="00000000" w:rsidP="00000000" w:rsidRDefault="00000000" w:rsidRPr="00000000" w14:paraId="000001C6">
      <w:pPr>
        <w:rPr/>
      </w:pPr>
      <w:r w:rsidDel="00000000" w:rsidR="00000000" w:rsidRPr="00000000">
        <w:rPr>
          <w:rtl w:val="0"/>
        </w:rPr>
        <w:t xml:space="preserve"> </w:t>
      </w:r>
    </w:p>
    <w:p w:rsidR="00000000" w:rsidDel="00000000" w:rsidP="00000000" w:rsidRDefault="00000000" w:rsidRPr="00000000" w14:paraId="000001C7">
      <w:pPr>
        <w:rPr/>
      </w:pPr>
      <w:r w:rsidDel="00000000" w:rsidR="00000000" w:rsidRPr="00000000">
        <w:rPr>
          <w:rtl w:val="0"/>
        </w:rPr>
        <w:t xml:space="preserve">De même, le Prestataire est informé que les Propriétés Paralympiques désignant l'événement sportif mondialement connu, propriété exclusive de l’IPC - les Jeux Paralympiques - ainsi que les produits et services afférents à leur organisation, sont protégés en France par le droit de la propriété intellectuelle, et notamment, le cas échéant, en tant que marques d'usage notoire.</w:t>
      </w:r>
    </w:p>
    <w:p w:rsidR="00000000" w:rsidDel="00000000" w:rsidP="00000000" w:rsidRDefault="00000000" w:rsidRPr="00000000" w14:paraId="000001C8">
      <w:pPr>
        <w:rPr/>
      </w:pPr>
      <w:r w:rsidDel="00000000" w:rsidR="00000000" w:rsidRPr="00000000">
        <w:rPr>
          <w:rtl w:val="0"/>
        </w:rPr>
        <w:t xml:space="preserve"> </w:t>
      </w:r>
    </w:p>
    <w:p w:rsidR="00000000" w:rsidDel="00000000" w:rsidP="00000000" w:rsidRDefault="00000000" w:rsidRPr="00000000" w14:paraId="000001C9">
      <w:pPr>
        <w:rPr/>
      </w:pPr>
      <w:r w:rsidDel="00000000" w:rsidR="00000000" w:rsidRPr="00000000">
        <w:rPr>
          <w:rtl w:val="0"/>
        </w:rPr>
        <w:t xml:space="preserve">En outre, le législateur français a entendu renforcer la protection des Propriétés Olympiques et des Propriétés Paralympiques sur le territoire français par l'adoption respective des articles L.141-5 et L141-7 du Code du sport.</w:t>
      </w:r>
    </w:p>
    <w:p w:rsidR="00000000" w:rsidDel="00000000" w:rsidP="00000000" w:rsidRDefault="00000000" w:rsidRPr="00000000" w14:paraId="000001CA">
      <w:pPr>
        <w:rPr/>
      </w:pPr>
      <w:r w:rsidDel="00000000" w:rsidR="00000000" w:rsidRPr="00000000">
        <w:rPr>
          <w:rtl w:val="0"/>
        </w:rPr>
        <w:t xml:space="preserve"> </w:t>
      </w:r>
    </w:p>
    <w:p w:rsidR="00000000" w:rsidDel="00000000" w:rsidP="00000000" w:rsidRDefault="00000000" w:rsidRPr="00000000" w14:paraId="000001CB">
      <w:pPr>
        <w:rPr/>
      </w:pPr>
      <w:r w:rsidDel="00000000" w:rsidR="00000000" w:rsidRPr="00000000">
        <w:rPr>
          <w:rtl w:val="0"/>
        </w:rPr>
        <w:t xml:space="preserve">En conséquence, le Prestataire s’interdit toute utilisation des Propriétés Olympiques et des Propriétés Paralympiques sans l’autorisation préalable et exprès de Paris 2024, quel qu’en soit le support. </w:t>
      </w:r>
    </w:p>
    <w:p w:rsidR="00000000" w:rsidDel="00000000" w:rsidP="00000000" w:rsidRDefault="00000000" w:rsidRPr="00000000" w14:paraId="000001CC">
      <w:pPr>
        <w:rPr/>
      </w:pPr>
      <w:r w:rsidDel="00000000" w:rsidR="00000000" w:rsidRPr="00000000">
        <w:rPr>
          <w:rtl w:val="0"/>
        </w:rPr>
        <w:t xml:space="preserve"> </w:t>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rPr/>
      </w:pPr>
      <w:r w:rsidDel="00000000" w:rsidR="00000000" w:rsidRPr="00000000">
        <w:rPr>
          <w:rtl w:val="0"/>
        </w:rPr>
        <w:t xml:space="preserve">Dans le cadre de l’exécution du Contrat, le Prestataire s’engagera à :</w:t>
      </w:r>
    </w:p>
    <w:p w:rsidR="00000000" w:rsidDel="00000000" w:rsidP="00000000" w:rsidRDefault="00000000" w:rsidRPr="00000000" w14:paraId="000001CF">
      <w:pPr>
        <w:rPr/>
      </w:pPr>
      <w:r w:rsidDel="00000000" w:rsidR="00000000" w:rsidRPr="00000000">
        <w:rPr>
          <w:rtl w:val="0"/>
        </w:rPr>
        <w:t xml:space="preserve"> </w:t>
      </w:r>
    </w:p>
    <w:p w:rsidR="00000000" w:rsidDel="00000000" w:rsidP="00000000" w:rsidRDefault="00000000" w:rsidRPr="00000000" w14:paraId="000001D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 jamais s’associer ou associer ses produits et services d’une quelconque manière avec les Jeux Olympiques, les Jeux Paralympiques, le Mouvement Olympique et Paralympique, le CIO, l’IPC ou Paris 2024 ;</w:t>
      </w:r>
    </w:p>
    <w:p w:rsidR="00000000" w:rsidDel="00000000" w:rsidP="00000000" w:rsidRDefault="00000000" w:rsidRPr="00000000" w14:paraId="000001D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 jamais s’associer, ou associer les marques, déposées ou non, lui appartenant, ses logos, sigles, emblèmes ou tout autre signe distinctif lui appartenant aux Jeux Olympiques et aux Jeux Paralympiques, au Mouvement Olympique et Paralympique, au CIO, à l’IPC ou à Paris 2024 ;</w:t>
      </w:r>
    </w:p>
    <w:p w:rsidR="00000000" w:rsidDel="00000000" w:rsidP="00000000" w:rsidRDefault="00000000" w:rsidRPr="00000000" w14:paraId="000001D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 jamais utiliser ni créer une association directe ou indirecte illégale ou non autorisée avec les marques déposées ou non, les logos et tout autre signe distinctif de Paris 2024 du CIO, de l’IPC, du Mouvement Olympique et Paralympique, des Jeux Olympiques, des Jeux Paralympiques et de Paris 2024 ;</w:t>
      </w:r>
    </w:p>
    <w:p w:rsidR="00000000" w:rsidDel="00000000" w:rsidP="00000000" w:rsidRDefault="00000000" w:rsidRPr="00000000" w14:paraId="000001D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 jamais se prévaloir de la qualité de prestataire ou de partenaire « officiel », « sélectionné », « approuvé », « garanti », ou « privilégié », par le CIO, l’IPC, Paris 2024, le Mouvement Olympique et Paralympique, les Jeux Olympiques ou bien les Jeux Paralympiques, ni de quelconque autre qualité similaire ;</w:t>
      </w:r>
    </w:p>
    <w:p w:rsidR="00000000" w:rsidDel="00000000" w:rsidP="00000000" w:rsidRDefault="00000000" w:rsidRPr="00000000" w14:paraId="000001D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 jamais publier ou effectuer une quelconque communication factuelle, éditoriale ou autre concernant sa qualité de prestataire de biens ou services au profit de Paris 2024, du CIO, de l’IPC ou de toute autre organisation en lien avec les Jeux Olympiques et les Jeux Paralympiques ou le Mouvement Olympique et Paralympique ;</w:t>
      </w:r>
    </w:p>
    <w:p w:rsidR="00000000" w:rsidDel="00000000" w:rsidP="00000000" w:rsidRDefault="00000000" w:rsidRPr="00000000" w14:paraId="000001D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 jamais utiliser une marque, un nom commercial, un logo ou tout autre support de communication de nature à créer une confusion avec Paris 2024, le CIO, l’IPC le Mouvement Olympique et Paralympique ou les Jeux Olympiques et les Jeux Paralympiques, ou entreprendre toute forme d’agissements parasitaires, « ambush marketing » lui permettant de tirer profit de la notoriété des Jeux sans bourse délier ;</w:t>
      </w:r>
    </w:p>
    <w:p w:rsidR="00000000" w:rsidDel="00000000" w:rsidP="00000000" w:rsidRDefault="00000000" w:rsidRPr="00000000" w14:paraId="000001D6">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Ne jamais entreprendre aucune action ou communication susceptibles de porter préjudice aux partenaires, fournisseurs, licenciés ou toute entité avec laquelle le CIO, l’IPC, et/ou Paris 2024 a contracté ou pourraient contracter à l’avenir.</w:t>
      </w:r>
    </w:p>
    <w:p w:rsidR="00000000" w:rsidDel="00000000" w:rsidP="00000000" w:rsidRDefault="00000000" w:rsidRPr="00000000" w14:paraId="000001D7">
      <w:pPr>
        <w:ind w:left="360" w:firstLine="0"/>
        <w:rPr/>
      </w:pPr>
      <w:r w:rsidDel="00000000" w:rsidR="00000000" w:rsidRPr="00000000">
        <w:rPr>
          <w:rtl w:val="0"/>
        </w:rPr>
        <w:t xml:space="preserve"> </w:t>
      </w:r>
    </w:p>
    <w:p w:rsidR="00000000" w:rsidDel="00000000" w:rsidP="00000000" w:rsidRDefault="00000000" w:rsidRPr="00000000" w14:paraId="000001D8">
      <w:pPr>
        <w:rPr/>
      </w:pPr>
      <w:r w:rsidDel="00000000" w:rsidR="00000000" w:rsidRPr="00000000">
        <w:rPr>
          <w:rtl w:val="0"/>
        </w:rPr>
        <w:t xml:space="preserve">Dans le respect de la réglementation applicable, le Prestataire s’engage en conséquence à ce qu’aucune publicité quelle qu’en soit le support en lien avec les marques et signes distinctifs du CIO, de l’IPC, du Mouvement Olympique et Paralympique, des Jeux Olympiques, des Jeux Paralympiques et Paris 2024 ne soit présente ou utilisée à l’occasion de l’exécution du Contrat.</w:t>
      </w:r>
    </w:p>
    <w:p w:rsidR="00000000" w:rsidDel="00000000" w:rsidP="00000000" w:rsidRDefault="00000000" w:rsidRPr="00000000" w14:paraId="000001D9">
      <w:pPr>
        <w:rPr/>
      </w:pPr>
      <w:r w:rsidDel="00000000" w:rsidR="00000000" w:rsidRPr="00000000">
        <w:rPr>
          <w:rtl w:val="0"/>
        </w:rPr>
        <w:t xml:space="preserve"> </w:t>
      </w:r>
    </w:p>
    <w:p w:rsidR="00000000" w:rsidDel="00000000" w:rsidP="00000000" w:rsidRDefault="00000000" w:rsidRPr="00000000" w14:paraId="000001DA">
      <w:pPr>
        <w:rPr/>
      </w:pPr>
      <w:r w:rsidDel="00000000" w:rsidR="00000000" w:rsidRPr="00000000">
        <w:rPr>
          <w:rtl w:val="0"/>
        </w:rPr>
        <w:t xml:space="preserve">Le Prestataire s'interdit tout dépôt de marques, dessins, modèles, textes, symboles, slogans, ou tout autre titre de propriété intellectuelle etc. liés à l'objet du contrat ou en rapport direct ou indirect avec le Mouvement Olympique et Paralympique, les Jeux Olympiques, les Jeux Paralympiques ou Paris 2024.</w:t>
      </w:r>
    </w:p>
    <w:p w:rsidR="00000000" w:rsidDel="00000000" w:rsidP="00000000" w:rsidRDefault="00000000" w:rsidRPr="00000000" w14:paraId="000001DB">
      <w:pPr>
        <w:rPr/>
      </w:pPr>
      <w:r w:rsidDel="00000000" w:rsidR="00000000" w:rsidRPr="00000000">
        <w:rPr>
          <w:rtl w:val="0"/>
        </w:rPr>
        <w:t xml:space="preserve"> </w:t>
      </w:r>
    </w:p>
    <w:p w:rsidR="00000000" w:rsidDel="00000000" w:rsidP="00000000" w:rsidRDefault="00000000" w:rsidRPr="00000000" w14:paraId="000001DC">
      <w:pPr>
        <w:rPr/>
      </w:pPr>
      <w:r w:rsidDel="00000000" w:rsidR="00000000" w:rsidRPr="00000000">
        <w:rPr>
          <w:rtl w:val="0"/>
        </w:rPr>
        <w:t xml:space="preserve">Le Prestataire s’engage à faire respecter les dispositions et engagements du présent Article par tous ses salariés et tous les cocontractants, sous-traitants, fournisseurs, partenaires et autres tiers auxquels il aurait recours dans le cadre de l’exécution du Contrat et se porte fort de leur respect par ces tiers.</w:t>
      </w:r>
    </w:p>
    <w:p w:rsidR="00000000" w:rsidDel="00000000" w:rsidP="00000000" w:rsidRDefault="00000000" w:rsidRPr="00000000" w14:paraId="000001DD">
      <w:pPr>
        <w:rPr/>
      </w:pPr>
      <w:r w:rsidDel="00000000" w:rsidR="00000000" w:rsidRPr="00000000">
        <w:rPr>
          <w:rtl w:val="0"/>
        </w:rPr>
        <w:t xml:space="preserve"> </w:t>
      </w:r>
    </w:p>
    <w:p w:rsidR="00000000" w:rsidDel="00000000" w:rsidP="00000000" w:rsidRDefault="00000000" w:rsidRPr="00000000" w14:paraId="000001DE">
      <w:pPr>
        <w:rPr/>
      </w:pPr>
      <w:r w:rsidDel="00000000" w:rsidR="00000000" w:rsidRPr="00000000">
        <w:rPr>
          <w:rtl w:val="0"/>
        </w:rPr>
        <w:t xml:space="preserve">En conséquence, il garantit Paris 2024 de toutes les conséquences financières ou autres liées à une violation des engagements listés ci-avant que la violation soit de son fait ou du fait d’un tiers auquel il aura eu recours.</w:t>
      </w:r>
    </w:p>
    <w:p w:rsidR="00000000" w:rsidDel="00000000" w:rsidP="00000000" w:rsidRDefault="00000000" w:rsidRPr="00000000" w14:paraId="000001DF">
      <w:pPr>
        <w:rPr/>
      </w:pPr>
      <w:r w:rsidDel="00000000" w:rsidR="00000000" w:rsidRPr="00000000">
        <w:rPr>
          <w:rtl w:val="0"/>
        </w:rPr>
        <w:t xml:space="preserve"> </w:t>
      </w:r>
    </w:p>
    <w:p w:rsidR="00000000" w:rsidDel="00000000" w:rsidP="00000000" w:rsidRDefault="00000000" w:rsidRPr="00000000" w14:paraId="000001E0">
      <w:pPr>
        <w:rPr/>
      </w:pPr>
      <w:r w:rsidDel="00000000" w:rsidR="00000000" w:rsidRPr="00000000">
        <w:rPr>
          <w:rtl w:val="0"/>
        </w:rPr>
        <w:t xml:space="preserve">Ces obligations et garanties perdureront après la fin du Contrat quelle qu’en soit la cause.</w:t>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360" w:before="720" w:line="240" w:lineRule="auto"/>
        <w:ind w:left="720" w:right="0" w:hanging="360"/>
        <w:jc w:val="both"/>
        <w:rPr/>
      </w:pPr>
      <w:bookmarkStart w:colFirst="0" w:colLast="0" w:name="_heading=h.41mghml" w:id="37"/>
      <w:bookmarkEnd w:id="37"/>
      <w:r w:rsidDel="00000000" w:rsidR="00000000" w:rsidRPr="00000000">
        <w:rPr>
          <w:rFonts w:ascii="Paris2024" w:cs="Paris2024" w:eastAsia="Paris2024" w:hAnsi="Paris2024"/>
          <w:b w:val="1"/>
          <w:i w:val="0"/>
          <w:smallCaps w:val="0"/>
          <w:strike w:val="0"/>
          <w:color w:val="d6c377"/>
          <w:sz w:val="52"/>
          <w:szCs w:val="52"/>
          <w:u w:val="none"/>
          <w:shd w:fill="auto" w:val="clear"/>
          <w:vertAlign w:val="baseline"/>
          <w:rtl w:val="0"/>
        </w:rPr>
        <w:t xml:space="preserve">Annexes</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rFonts w:ascii="Paris2024" w:cs="Paris2024" w:eastAsia="Paris2024" w:hAnsi="Paris2024"/>
          <w:b w:val="1"/>
          <w:i w:val="0"/>
          <w:smallCaps w:val="1"/>
          <w:strike w:val="0"/>
          <w:color w:val="000000"/>
          <w:sz w:val="28"/>
          <w:szCs w:val="28"/>
          <w:u w:val="none"/>
          <w:shd w:fill="auto" w:val="clear"/>
          <w:vertAlign w:val="baseline"/>
        </w:rPr>
      </w:pPr>
      <w:bookmarkStart w:colFirst="0" w:colLast="0" w:name="_heading=h.2grqrue" w:id="38"/>
      <w:bookmarkEnd w:id="38"/>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Annexe 1 - stratégie velo</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t xml:space="preserve">Cette annexe sera transmise en phase offre.</w:t>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rFonts w:ascii="Paris2024" w:cs="Paris2024" w:eastAsia="Paris2024" w:hAnsi="Paris2024"/>
          <w:b w:val="1"/>
          <w:i w:val="0"/>
          <w:smallCaps w:val="1"/>
          <w:strike w:val="0"/>
          <w:color w:val="000000"/>
          <w:sz w:val="28"/>
          <w:szCs w:val="28"/>
          <w:u w:val="none"/>
          <w:shd w:fill="auto" w:val="clear"/>
          <w:vertAlign w:val="baseline"/>
        </w:rPr>
      </w:pPr>
      <w:bookmarkStart w:colFirst="0" w:colLast="0" w:name="_heading=h.vx1227" w:id="39"/>
      <w:bookmarkEnd w:id="39"/>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Annexe 2 – plan de situation des parkings</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tl w:val="0"/>
        </w:rPr>
        <w:t xml:space="preserve">Cette annexe sera transmise en phase offre.</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rFonts w:ascii="Paris2024" w:cs="Paris2024" w:eastAsia="Paris2024" w:hAnsi="Paris2024"/>
          <w:b w:val="1"/>
          <w:i w:val="0"/>
          <w:smallCaps w:val="1"/>
          <w:strike w:val="0"/>
          <w:color w:val="000000"/>
          <w:sz w:val="28"/>
          <w:szCs w:val="28"/>
          <w:u w:val="none"/>
          <w:shd w:fill="auto" w:val="clear"/>
          <w:vertAlign w:val="baseline"/>
        </w:rPr>
      </w:pPr>
      <w:bookmarkStart w:colFirst="0" w:colLast="0" w:name="_heading=h.3fwokq0" w:id="40"/>
      <w:bookmarkEnd w:id="40"/>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Annexe 3 - volumes de stationnement accrédités par lot et par site</w:t>
      </w:r>
    </w:p>
    <w:tbl>
      <w:tblPr>
        <w:tblStyle w:val="Table5"/>
        <w:tblW w:w="4645.0" w:type="dxa"/>
        <w:jc w:val="center"/>
        <w:tblLayout w:type="fixed"/>
        <w:tblLook w:val="0400"/>
      </w:tblPr>
      <w:tblGrid>
        <w:gridCol w:w="1032"/>
        <w:gridCol w:w="1021"/>
        <w:gridCol w:w="1405"/>
        <w:gridCol w:w="1041"/>
        <w:gridCol w:w="146"/>
        <w:tblGridChange w:id="0">
          <w:tblGrid>
            <w:gridCol w:w="1032"/>
            <w:gridCol w:w="1021"/>
            <w:gridCol w:w="1405"/>
            <w:gridCol w:w="1041"/>
            <w:gridCol w:w="146"/>
          </w:tblGrid>
        </w:tblGridChange>
      </w:tblGrid>
      <w:tr>
        <w:trPr>
          <w:cantSplit w:val="0"/>
          <w:trHeight w:val="237" w:hRule="atLeast"/>
          <w:tblHeader w:val="0"/>
        </w:trPr>
        <w:tc>
          <w:tcPr>
            <w:vMerge w:val="restart"/>
            <w:tcBorders>
              <w:top w:color="000000" w:space="0" w:sz="4" w:val="single"/>
              <w:left w:color="000000" w:space="0" w:sz="4" w:val="single"/>
              <w:bottom w:color="000000" w:space="0" w:sz="4" w:val="single"/>
              <w:right w:color="000000" w:space="0" w:sz="4" w:val="single"/>
            </w:tcBorders>
            <w:shd w:fill="ddebf7" w:val="clear"/>
            <w:vAlign w:val="center"/>
          </w:tcPr>
          <w:p w:rsidR="00000000" w:rsidDel="00000000" w:rsidP="00000000" w:rsidRDefault="00000000" w:rsidRPr="00000000" w14:paraId="000001ED">
            <w:pPr>
              <w:spacing w:line="240" w:lineRule="auto"/>
              <w:jc w:val="center"/>
              <w:rPr>
                <w:rFonts w:ascii="Paris2024" w:cs="Paris2024" w:eastAsia="Paris2024" w:hAnsi="Paris2024"/>
                <w:b w:val="1"/>
                <w:color w:val="000000"/>
                <w:sz w:val="18"/>
                <w:szCs w:val="18"/>
              </w:rPr>
            </w:pPr>
            <w:r w:rsidDel="00000000" w:rsidR="00000000" w:rsidRPr="00000000">
              <w:rPr>
                <w:rFonts w:ascii="Paris2024" w:cs="Paris2024" w:eastAsia="Paris2024" w:hAnsi="Paris2024"/>
                <w:b w:val="1"/>
                <w:color w:val="000000"/>
                <w:sz w:val="18"/>
                <w:szCs w:val="18"/>
                <w:rtl w:val="0"/>
              </w:rPr>
              <w:t xml:space="preserve">Lot</w:t>
            </w:r>
          </w:p>
        </w:tc>
        <w:tc>
          <w:tcPr>
            <w:vMerge w:val="restart"/>
            <w:tcBorders>
              <w:top w:color="000000" w:space="0" w:sz="4" w:val="single"/>
              <w:left w:color="000000" w:space="0" w:sz="4" w:val="single"/>
              <w:bottom w:color="000000" w:space="0" w:sz="4" w:val="single"/>
              <w:right w:color="000000" w:space="0" w:sz="4" w:val="single"/>
            </w:tcBorders>
            <w:shd w:fill="ddebf7" w:val="clear"/>
            <w:vAlign w:val="center"/>
          </w:tcPr>
          <w:p w:rsidR="00000000" w:rsidDel="00000000" w:rsidP="00000000" w:rsidRDefault="00000000" w:rsidRPr="00000000" w14:paraId="000001EE">
            <w:pPr>
              <w:spacing w:line="240" w:lineRule="auto"/>
              <w:jc w:val="center"/>
              <w:rPr>
                <w:rFonts w:ascii="Paris2024" w:cs="Paris2024" w:eastAsia="Paris2024" w:hAnsi="Paris2024"/>
                <w:b w:val="1"/>
                <w:color w:val="000000"/>
                <w:sz w:val="18"/>
                <w:szCs w:val="18"/>
              </w:rPr>
            </w:pPr>
            <w:r w:rsidDel="00000000" w:rsidR="00000000" w:rsidRPr="00000000">
              <w:rPr>
                <w:rFonts w:ascii="Paris2024" w:cs="Paris2024" w:eastAsia="Paris2024" w:hAnsi="Paris2024"/>
                <w:b w:val="1"/>
                <w:color w:val="000000"/>
                <w:sz w:val="18"/>
                <w:szCs w:val="18"/>
                <w:vertAlign w:val="baseline"/>
                <w:rtl w:val="0"/>
              </w:rPr>
              <w:t xml:space="preserve">Site</w:t>
            </w:r>
            <w:r w:rsidDel="00000000" w:rsidR="00000000" w:rsidRPr="00000000">
              <w:rPr>
                <w:rFonts w:ascii="Cambria Math" w:cs="Cambria Math" w:eastAsia="Cambria Math" w:hAnsi="Cambria Math"/>
                <w:b w:val="1"/>
                <w:color w:val="000000"/>
                <w:sz w:val="18"/>
                <w:szCs w:val="18"/>
                <w:vertAlign w:val="baseline"/>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ddebf7" w:val="clear"/>
            <w:vAlign w:val="center"/>
          </w:tcPr>
          <w:p w:rsidR="00000000" w:rsidDel="00000000" w:rsidP="00000000" w:rsidRDefault="00000000" w:rsidRPr="00000000" w14:paraId="000001EF">
            <w:pPr>
              <w:spacing w:line="240" w:lineRule="auto"/>
              <w:jc w:val="center"/>
              <w:rPr>
                <w:rFonts w:ascii="Paris2024" w:cs="Paris2024" w:eastAsia="Paris2024" w:hAnsi="Paris2024"/>
                <w:b w:val="1"/>
                <w:color w:val="000000"/>
                <w:sz w:val="18"/>
                <w:szCs w:val="18"/>
              </w:rPr>
            </w:pPr>
            <w:r w:rsidDel="00000000" w:rsidR="00000000" w:rsidRPr="00000000">
              <w:rPr>
                <w:rFonts w:ascii="Paris2024" w:cs="Paris2024" w:eastAsia="Paris2024" w:hAnsi="Paris2024"/>
                <w:b w:val="1"/>
                <w:color w:val="000000"/>
                <w:sz w:val="18"/>
                <w:szCs w:val="18"/>
                <w:rtl w:val="0"/>
              </w:rPr>
              <w:t xml:space="preserve">Nombre de places</w:t>
            </w:r>
          </w:p>
        </w:tc>
        <w:tc>
          <w:tcPr>
            <w:vMerge w:val="restart"/>
            <w:tcBorders>
              <w:top w:color="000000" w:space="0" w:sz="4" w:val="single"/>
              <w:left w:color="000000" w:space="0" w:sz="4" w:val="single"/>
              <w:bottom w:color="000000" w:space="0" w:sz="4" w:val="single"/>
              <w:right w:color="000000" w:space="0" w:sz="4" w:val="single"/>
            </w:tcBorders>
            <w:shd w:fill="ddebf7" w:val="clear"/>
            <w:vAlign w:val="center"/>
          </w:tcPr>
          <w:p w:rsidR="00000000" w:rsidDel="00000000" w:rsidP="00000000" w:rsidRDefault="00000000" w:rsidRPr="00000000" w14:paraId="000001F0">
            <w:pPr>
              <w:spacing w:line="240" w:lineRule="auto"/>
              <w:jc w:val="center"/>
              <w:rPr>
                <w:rFonts w:ascii="Paris2024" w:cs="Paris2024" w:eastAsia="Paris2024" w:hAnsi="Paris2024"/>
                <w:b w:val="1"/>
                <w:color w:val="000000"/>
                <w:sz w:val="18"/>
                <w:szCs w:val="18"/>
              </w:rPr>
            </w:pPr>
            <w:r w:rsidDel="00000000" w:rsidR="00000000" w:rsidRPr="00000000">
              <w:rPr>
                <w:rFonts w:ascii="Paris2024" w:cs="Paris2024" w:eastAsia="Paris2024" w:hAnsi="Paris2024"/>
                <w:b w:val="1"/>
                <w:color w:val="000000"/>
                <w:sz w:val="18"/>
                <w:szCs w:val="18"/>
                <w:rtl w:val="0"/>
              </w:rPr>
              <w:t xml:space="preserve">Jours de location</w:t>
            </w:r>
          </w:p>
        </w:tc>
      </w:tr>
      <w:tr>
        <w:trPr>
          <w:cantSplit w:val="0"/>
          <w:trHeight w:val="209" w:hRule="atLeast"/>
          <w:tblHeader w:val="0"/>
        </w:trPr>
        <w:tc>
          <w:tcPr>
            <w:vMerge w:val="continue"/>
            <w:tcBorders>
              <w:top w:color="000000" w:space="0" w:sz="4" w:val="single"/>
              <w:left w:color="000000" w:space="0" w:sz="4" w:val="single"/>
              <w:bottom w:color="000000" w:space="0" w:sz="4" w:val="single"/>
              <w:right w:color="000000" w:space="0" w:sz="4" w:val="single"/>
            </w:tcBorders>
            <w:shd w:fill="ddebf7" w:val="clear"/>
            <w:vAlign w:val="center"/>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ris2024" w:cs="Paris2024" w:eastAsia="Paris2024" w:hAnsi="Paris2024"/>
                <w:b w:val="1"/>
                <w:color w:val="000000"/>
                <w:sz w:val="18"/>
                <w:szCs w:val="1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ddebf7" w:val="clear"/>
            <w:vAlign w:val="center"/>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ris2024" w:cs="Paris2024" w:eastAsia="Paris2024" w:hAnsi="Paris2024"/>
                <w:b w:val="1"/>
                <w:color w:val="000000"/>
                <w:sz w:val="18"/>
                <w:szCs w:val="1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ddebf7" w:val="clear"/>
            <w:vAlign w:val="center"/>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ris2024" w:cs="Paris2024" w:eastAsia="Paris2024" w:hAnsi="Paris2024"/>
                <w:b w:val="1"/>
                <w:color w:val="000000"/>
                <w:sz w:val="18"/>
                <w:szCs w:val="1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ddebf7" w:val="clear"/>
            <w:vAlign w:val="center"/>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Paris2024" w:cs="Paris2024" w:eastAsia="Paris2024" w:hAnsi="Paris2024"/>
                <w:b w:val="1"/>
                <w:color w:val="000000"/>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1F5">
            <w:pPr>
              <w:spacing w:line="240" w:lineRule="auto"/>
              <w:jc w:val="center"/>
              <w:rPr>
                <w:rFonts w:ascii="Paris2024" w:cs="Paris2024" w:eastAsia="Paris2024" w:hAnsi="Paris2024"/>
                <w:b w:val="1"/>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F6">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Nord</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F7">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AQC</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F8">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15</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F9">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1FA">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1FF">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00">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Ouest</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01">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DEF</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02">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150</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03">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04">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09">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0A">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Est</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0B">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LBO</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0C">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10</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0D">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0E">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13">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14">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Est</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15">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NPA</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16">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15</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17">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18">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1D">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1E">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Nord</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1F">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STA</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20">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65</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21">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22">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27">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28">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Nord</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29">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YDM</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2A">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2B">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2C">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31">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32">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Paris Centre</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33">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CDM</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34">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100</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35">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36">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3B">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3C">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Paris Centre</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3D">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EIF</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3E">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70</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3F">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40">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45">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46">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Paris Centre</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47">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GRP</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48">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85</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49">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4A">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4F">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50">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Paris Centre</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51">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INV</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52">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65</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53">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54">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59">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5A">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Paris Centre</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5B">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PIE</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5C">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120</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5D">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5E">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63">
            <w:pPr>
              <w:spacing w:line="240" w:lineRule="auto"/>
              <w:jc w:val="right"/>
              <w:rPr>
                <w:rFonts w:ascii="Paris2024" w:cs="Paris2024" w:eastAsia="Paris2024" w:hAnsi="Paris2024"/>
                <w:color w:val="000000"/>
              </w:rPr>
            </w:pPr>
            <w:r w:rsidDel="00000000" w:rsidR="00000000" w:rsidRPr="00000000">
              <w:rPr>
                <w:rtl w:val="0"/>
              </w:rPr>
            </w:r>
          </w:p>
        </w:tc>
      </w:tr>
    </w:tbl>
    <w:p w:rsidR="00000000" w:rsidDel="00000000" w:rsidP="00000000" w:rsidRDefault="00000000" w:rsidRPr="00000000" w14:paraId="00000264">
      <w:pPr>
        <w:spacing w:line="240" w:lineRule="auto"/>
        <w:rPr/>
      </w:pPr>
      <w:r w:rsidDel="00000000" w:rsidR="00000000" w:rsidRPr="00000000">
        <w:rPr>
          <w:rtl w:val="0"/>
        </w:rPr>
      </w:r>
    </w:p>
    <w:tbl>
      <w:tblPr>
        <w:tblStyle w:val="Table6"/>
        <w:tblW w:w="4645.0" w:type="dxa"/>
        <w:jc w:val="center"/>
        <w:tblLayout w:type="fixed"/>
        <w:tblLook w:val="0400"/>
      </w:tblPr>
      <w:tblGrid>
        <w:gridCol w:w="1032"/>
        <w:gridCol w:w="1021"/>
        <w:gridCol w:w="1405"/>
        <w:gridCol w:w="1041"/>
        <w:gridCol w:w="146"/>
        <w:tblGridChange w:id="0">
          <w:tblGrid>
            <w:gridCol w:w="1032"/>
            <w:gridCol w:w="1021"/>
            <w:gridCol w:w="1405"/>
            <w:gridCol w:w="1041"/>
            <w:gridCol w:w="146"/>
          </w:tblGrid>
        </w:tblGridChange>
      </w:tblGrid>
      <w:tr>
        <w:trPr>
          <w:cantSplit w:val="0"/>
          <w:trHeight w:val="167" w:hRule="atLeast"/>
          <w:tblHeader w:val="0"/>
        </w:trPr>
        <w:tc>
          <w:tcPr>
            <w:tcBorders>
              <w:top w:color="000000" w:space="0" w:sz="4" w:val="single"/>
              <w:left w:color="000000" w:space="0" w:sz="4" w:val="single"/>
              <w:bottom w:color="000000" w:space="0" w:sz="4" w:val="single"/>
              <w:right w:color="000000" w:space="0" w:sz="4" w:val="single"/>
            </w:tcBorders>
            <w:shd w:fill="cce1ff" w:val="clear"/>
            <w:vAlign w:val="center"/>
          </w:tcPr>
          <w:p w:rsidR="00000000" w:rsidDel="00000000" w:rsidP="00000000" w:rsidRDefault="00000000" w:rsidRPr="00000000" w14:paraId="00000265">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b w:val="1"/>
                <w:color w:val="000000"/>
                <w:sz w:val="18"/>
                <w:szCs w:val="18"/>
                <w:rtl w:val="0"/>
              </w:rPr>
              <w:t xml:space="preserve">Lot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e1ff" w:val="clear"/>
            <w:vAlign w:val="center"/>
          </w:tcPr>
          <w:p w:rsidR="00000000" w:rsidDel="00000000" w:rsidP="00000000" w:rsidRDefault="00000000" w:rsidRPr="00000000" w14:paraId="00000266">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b w:val="1"/>
                <w:color w:val="000000"/>
                <w:sz w:val="18"/>
                <w:szCs w:val="18"/>
                <w:vertAlign w:val="baseline"/>
                <w:rtl w:val="0"/>
              </w:rPr>
              <w:t xml:space="preserve">Site</w:t>
            </w:r>
            <w:r w:rsidDel="00000000" w:rsidR="00000000" w:rsidRPr="00000000">
              <w:rPr>
                <w:rFonts w:ascii="Cambria Math" w:cs="Cambria Math" w:eastAsia="Cambria Math" w:hAnsi="Cambria Math"/>
                <w:b w:val="1"/>
                <w:color w:val="000000"/>
                <w:sz w:val="18"/>
                <w:szCs w:val="18"/>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e1ff" w:val="clear"/>
            <w:vAlign w:val="center"/>
          </w:tcPr>
          <w:p w:rsidR="00000000" w:rsidDel="00000000" w:rsidP="00000000" w:rsidRDefault="00000000" w:rsidRPr="00000000" w14:paraId="00000267">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b w:val="1"/>
                <w:color w:val="000000"/>
                <w:sz w:val="18"/>
                <w:szCs w:val="18"/>
                <w:rtl w:val="0"/>
              </w:rPr>
              <w:t xml:space="preserve">Nombre de places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ce1ff" w:val="clear"/>
            <w:vAlign w:val="center"/>
          </w:tcPr>
          <w:p w:rsidR="00000000" w:rsidDel="00000000" w:rsidP="00000000" w:rsidRDefault="00000000" w:rsidRPr="00000000" w14:paraId="00000268">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b w:val="1"/>
                <w:color w:val="000000"/>
                <w:sz w:val="18"/>
                <w:szCs w:val="18"/>
                <w:rtl w:val="0"/>
              </w:rPr>
              <w:t xml:space="preserve">Jours de location</w:t>
            </w: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269">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6A">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Paris Centre</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6B">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LCO</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6C">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65</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6D">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6E">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73">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74">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Nord</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75">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CPL</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76">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65</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77">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78">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7D">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7E">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Est</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7F">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BCY</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80">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150</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81">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82">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87">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88">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Ouest</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89">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PDP</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8A">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90</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8B">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8C">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91">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92">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Ouest</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93">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RG1</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94">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120</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95">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96">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9B">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9C">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Ouest</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9D">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RG2</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9E">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70</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9F">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A0">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A5">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A6">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Ouest</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A7">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SP1</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A8">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90</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A9">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AA">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AF">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B0">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Ouest</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B1">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SP4</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B2">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70</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B3">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B4">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B9">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BA">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Ouest</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BB">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SP6</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BC">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90</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BD">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BE">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C3">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C4">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Est</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C5">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VNS</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C6">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20</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C7">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C8">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CD">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CE">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Ouest</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CF">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ELA</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D0">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15</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D1">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D2">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D7">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D8">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Ouest</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D9">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LGN</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DA">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25</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DB">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DC">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E1">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E2">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Ouest</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E3">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VEL</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E4">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15</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E5">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E6">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EB">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EC">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Ouest</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ED">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VER</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EE">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25</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EF">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F0">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F5">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F6">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Paris Centre</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F7">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TRO</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F8">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35</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F9">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2FA">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2FF">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00">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CHC</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01">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LIL</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02">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100</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03">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304">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309">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0A">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CHC</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0B">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LYO</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0C">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75</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0D">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30E">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313">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14">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CHC</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15">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MRS</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16">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100</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17">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318">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31D">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1E">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CHC</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1F">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MAM</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20">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200</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21">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322">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327">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28">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CHC</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29">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STE</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2A">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40</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2B">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32C">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331">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32">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CHC</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33">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BDX</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34">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40</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35">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336">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33B">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3C">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CHC</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3D">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NIC</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3E">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40</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3F">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340">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345">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46">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CHC</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47">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NAN</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48">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75</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49">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34A">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34F">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50">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CHC</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51">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CTX</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52">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100</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53">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354">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359">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5A">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Est</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5B">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IBC</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5C">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200</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5D">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35E">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363">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64">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Ouest</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65">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MPC</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66">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300</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67">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368">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36D">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6E">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Nord</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6F">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OVL</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70">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400</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71">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372">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377">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78">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Paris Centre</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79">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OFH</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7A">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10</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7B">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37C">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381">
            <w:pPr>
              <w:spacing w:line="240" w:lineRule="auto"/>
              <w:jc w:val="right"/>
              <w:rPr>
                <w:rFonts w:ascii="Paris2024" w:cs="Paris2024" w:eastAsia="Paris2024" w:hAnsi="Paris2024"/>
                <w:color w:val="000000"/>
              </w:rPr>
            </w:pPr>
            <w:r w:rsidDel="00000000" w:rsidR="00000000" w:rsidRPr="00000000">
              <w:rPr>
                <w:rtl w:val="0"/>
              </w:rPr>
            </w:r>
          </w:p>
        </w:tc>
      </w:tr>
      <w:tr>
        <w:trPr>
          <w:cantSplit w:val="0"/>
          <w:trHeight w:val="167" w:hRule="atLeast"/>
          <w:tblHeader w:val="0"/>
        </w:trPr>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82">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Lot Est</w:t>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83">
            <w:pPr>
              <w:spacing w:line="240" w:lineRule="auto"/>
              <w:jc w:val="lef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MVL</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84">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35</w:t>
            </w:r>
            <w:r w:rsidDel="00000000" w:rsidR="00000000" w:rsidRPr="00000000">
              <w:rPr>
                <w:rFonts w:ascii="Cambria Math" w:cs="Cambria Math" w:eastAsia="Cambria Math" w:hAnsi="Cambria Math"/>
                <w:color w:val="000000"/>
                <w:sz w:val="18"/>
                <w:szCs w:val="18"/>
                <w:rtl w:val="0"/>
              </w:rPr>
              <w:t xml:space="preserve">​</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85">
            <w:pPr>
              <w:spacing w:line="240" w:lineRule="auto"/>
              <w:jc w:val="right"/>
              <w:rPr>
                <w:rFonts w:ascii="Paris2024" w:cs="Paris2024" w:eastAsia="Paris2024" w:hAnsi="Paris2024"/>
                <w:color w:val="000000"/>
                <w:sz w:val="18"/>
                <w:szCs w:val="18"/>
              </w:rPr>
            </w:pPr>
            <w:r w:rsidDel="00000000" w:rsidR="00000000" w:rsidRPr="00000000">
              <w:rPr>
                <w:rFonts w:ascii="Paris2024" w:cs="Paris2024" w:eastAsia="Paris2024" w:hAnsi="Paris2024"/>
                <w:color w:val="000000"/>
                <w:sz w:val="18"/>
                <w:szCs w:val="18"/>
                <w:rtl w:val="0"/>
              </w:rPr>
              <w:t xml:space="preserve">60</w:t>
            </w:r>
          </w:p>
        </w:tc>
        <w:tc>
          <w:tcPr>
            <w:tcBorders>
              <w:left w:color="000000" w:space="0" w:sz="4" w:val="single"/>
            </w:tcBorders>
            <w:vAlign w:val="center"/>
          </w:tcPr>
          <w:p w:rsidR="00000000" w:rsidDel="00000000" w:rsidP="00000000" w:rsidRDefault="00000000" w:rsidRPr="00000000" w14:paraId="00000386">
            <w:pPr>
              <w:spacing w:line="240" w:lineRule="auto"/>
              <w:jc w:val="left"/>
              <w:rPr>
                <w:rFonts w:ascii="Times New Roman" w:cs="Times New Roman" w:eastAsia="Times New Roman" w:hAnsi="Times New Roman"/>
                <w:color w:val="000000"/>
              </w:rPr>
            </w:pPr>
            <w:r w:rsidDel="00000000" w:rsidR="00000000" w:rsidRPr="00000000">
              <w:rPr>
                <w:rtl w:val="0"/>
              </w:rPr>
            </w:r>
          </w:p>
        </w:tc>
      </w:tr>
      <w:tr>
        <w:trPr>
          <w:cantSplit w:val="0"/>
          <w:trHeight w:val="175" w:hRule="atLeast"/>
          <w:tblHeader w:val="0"/>
        </w:trPr>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2f2f2" w:val="clear"/>
            <w:vAlign w:val="center"/>
          </w:tcPr>
          <w:p w:rsidR="00000000" w:rsidDel="00000000" w:rsidP="00000000" w:rsidRDefault="00000000" w:rsidRPr="00000000" w14:paraId="000003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38B">
            <w:pPr>
              <w:spacing w:line="240" w:lineRule="auto"/>
              <w:jc w:val="right"/>
              <w:rPr>
                <w:rFonts w:ascii="Paris2024" w:cs="Paris2024" w:eastAsia="Paris2024" w:hAnsi="Paris2024"/>
                <w:color w:val="000000"/>
              </w:rPr>
            </w:pPr>
            <w:r w:rsidDel="00000000" w:rsidR="00000000" w:rsidRPr="00000000">
              <w:rPr>
                <w:rtl w:val="0"/>
              </w:rPr>
            </w:r>
          </w:p>
        </w:tc>
      </w:tr>
    </w:tbl>
    <w:p w:rsidR="00000000" w:rsidDel="00000000" w:rsidP="00000000" w:rsidRDefault="00000000" w:rsidRPr="00000000" w14:paraId="0000038C">
      <w:pPr>
        <w:rPr/>
      </w:pPr>
      <w:r w:rsidDel="00000000" w:rsidR="00000000" w:rsidRPr="00000000">
        <w:rPr>
          <w:rtl w:val="0"/>
        </w:rPr>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rFonts w:ascii="Paris2024" w:cs="Paris2024" w:eastAsia="Paris2024" w:hAnsi="Paris2024"/>
          <w:b w:val="1"/>
          <w:i w:val="0"/>
          <w:smallCaps w:val="1"/>
          <w:strike w:val="0"/>
          <w:color w:val="000000"/>
          <w:sz w:val="28"/>
          <w:szCs w:val="28"/>
          <w:u w:val="none"/>
          <w:shd w:fill="auto" w:val="clear"/>
          <w:vertAlign w:val="baseline"/>
        </w:rPr>
      </w:pPr>
      <w:bookmarkStart w:colFirst="0" w:colLast="0" w:name="_heading=h.1v1yuxt" w:id="41"/>
      <w:bookmarkEnd w:id="41"/>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Annexe 4 – calendrier des operations et Détail des prestations</w:t>
      </w:r>
    </w:p>
    <w:p w:rsidR="00000000" w:rsidDel="00000000" w:rsidP="00000000" w:rsidRDefault="00000000" w:rsidRPr="00000000" w14:paraId="0000038E">
      <w:pPr>
        <w:rPr/>
      </w:pPr>
      <w:r w:rsidDel="00000000" w:rsidR="00000000" w:rsidRPr="00000000">
        <w:rPr>
          <w:rtl w:val="0"/>
        </w:rPr>
      </w:r>
    </w:p>
    <w:p w:rsidR="00000000" w:rsidDel="00000000" w:rsidP="00000000" w:rsidRDefault="00000000" w:rsidRPr="00000000" w14:paraId="0000038F">
      <w:pPr>
        <w:rPr/>
      </w:pPr>
      <w:r w:rsidDel="00000000" w:rsidR="00000000" w:rsidRPr="00000000">
        <w:rPr>
          <w:rtl w:val="0"/>
        </w:rPr>
        <w:t xml:space="preserve">Cette annexe sera transmise en phase offre.</w:t>
      </w:r>
    </w:p>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480" w:line="240" w:lineRule="auto"/>
        <w:ind w:left="1287" w:right="0" w:hanging="720"/>
        <w:jc w:val="left"/>
        <w:rPr>
          <w:rFonts w:ascii="Paris2024" w:cs="Paris2024" w:eastAsia="Paris2024" w:hAnsi="Paris2024"/>
          <w:b w:val="1"/>
          <w:i w:val="0"/>
          <w:smallCaps w:val="1"/>
          <w:strike w:val="0"/>
          <w:color w:val="000000"/>
          <w:sz w:val="28"/>
          <w:szCs w:val="28"/>
          <w:u w:val="none"/>
          <w:shd w:fill="auto" w:val="clear"/>
          <w:vertAlign w:val="baseline"/>
        </w:rPr>
      </w:pPr>
      <w:bookmarkStart w:colFirst="0" w:colLast="0" w:name="_heading=h.4f1mdlm" w:id="42"/>
      <w:bookmarkEnd w:id="42"/>
      <w:r w:rsidDel="00000000" w:rsidR="00000000" w:rsidRPr="00000000">
        <w:rPr>
          <w:rFonts w:ascii="Paris2024" w:cs="Paris2024" w:eastAsia="Paris2024" w:hAnsi="Paris2024"/>
          <w:b w:val="1"/>
          <w:i w:val="0"/>
          <w:smallCaps w:val="1"/>
          <w:strike w:val="0"/>
          <w:color w:val="000000"/>
          <w:sz w:val="28"/>
          <w:szCs w:val="28"/>
          <w:u w:val="none"/>
          <w:shd w:fill="auto" w:val="clear"/>
          <w:vertAlign w:val="baseline"/>
          <w:rtl w:val="0"/>
        </w:rPr>
        <w:t xml:space="preserve">annexe 5 – bordereau de prix</w:t>
      </w:r>
    </w:p>
    <w:p w:rsidR="00000000" w:rsidDel="00000000" w:rsidP="00000000" w:rsidRDefault="00000000" w:rsidRPr="00000000" w14:paraId="00000391">
      <w:pPr>
        <w:rPr/>
      </w:pPr>
      <w:r w:rsidDel="00000000" w:rsidR="00000000" w:rsidRPr="00000000">
        <w:rPr>
          <w:rtl w:val="0"/>
        </w:rPr>
        <w:t xml:space="preserve">Cette annexe sera transmise en phase offre.</w:t>
      </w:r>
    </w:p>
    <w:p w:rsidR="00000000" w:rsidDel="00000000" w:rsidP="00000000" w:rsidRDefault="00000000" w:rsidRPr="00000000" w14:paraId="00000392">
      <w:pPr>
        <w:rPr/>
      </w:pPr>
      <w:r w:rsidDel="00000000" w:rsidR="00000000" w:rsidRPr="00000000">
        <w:rPr>
          <w:rtl w:val="0"/>
        </w:rPr>
      </w:r>
    </w:p>
    <w:p w:rsidR="00000000" w:rsidDel="00000000" w:rsidP="00000000" w:rsidRDefault="00000000" w:rsidRPr="00000000" w14:paraId="00000393">
      <w:pPr>
        <w:rPr/>
      </w:pPr>
      <w:r w:rsidDel="00000000" w:rsidR="00000000" w:rsidRPr="00000000">
        <w:rPr>
          <w:rtl w:val="0"/>
        </w:rPr>
      </w:r>
    </w:p>
    <w:sectPr>
      <w:headerReference r:id="rId13" w:type="default"/>
      <w:headerReference r:id="rId14" w:type="first"/>
      <w:footerReference r:id="rId15" w:type="default"/>
      <w:footerReference r:id="rId16" w:type="first"/>
      <w:footerReference r:id="rId17" w:type="even"/>
      <w:pgSz w:h="16840" w:w="11900" w:orient="portrait"/>
      <w:pgMar w:bottom="720" w:top="720" w:left="993" w:right="1127" w:header="1417" w:footer="516"/>
      <w:pgNumType w:start="0"/>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Marie Clotilde Boigues" w:id="0" w:date="2023-09-24T17:31:00Z">
    <w:p w:rsidR="00000000" w:rsidDel="00000000" w:rsidP="00000000" w:rsidRDefault="00000000" w:rsidRPr="00000000" w14:paraId="000003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Ajouté dans le sommaire des annexes</w:t>
      </w:r>
    </w:p>
  </w:comment>
  <w:comment w:author="Stéphane Aubry" w:id="2" w:date="2023-09-19T10:22:00Z">
    <w:p w:rsidR="00000000" w:rsidDel="00000000" w:rsidP="00000000" w:rsidRDefault="00000000" w:rsidRPr="00000000" w14:paraId="000003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@Marie Clotilde Boigues ok pour toi ?</w:t>
      </w:r>
    </w:p>
  </w:comment>
  <w:comment w:author="Marie Clotilde Boigues" w:id="3" w:date="2023-09-24T18:08:00Z">
    <w:p w:rsidR="00000000" w:rsidDel="00000000" w:rsidP="00000000" w:rsidRDefault="00000000" w:rsidRPr="00000000" w14:paraId="000003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yes</w:t>
      </w:r>
    </w:p>
  </w:comment>
  <w:comment w:author="Marie Clotilde Boigues" w:id="1" w:date="2023-09-24T17:30:00Z">
    <w:p w:rsidR="00000000" w:rsidDel="00000000" w:rsidP="00000000" w:rsidRDefault="00000000" w:rsidRPr="00000000" w14:paraId="000003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J'ai reformulé un peu et ajouté ce point comme évoqué</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3A9" w15:done="0"/>
  <w15:commentEx w15:paraId="000003AA" w15:done="0"/>
  <w15:commentEx w15:paraId="000003AB" w15:paraIdParent="000003AA" w15:done="0"/>
  <w15:commentEx w15:paraId="000003AC"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ourier New"/>
  <w:font w:name="Source Sans Pro Light"/>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aris2024"/>
  <w:font w:name="Noto Sans Symbols">
    <w:embedRegular w:fontKey="{00000000-0000-0000-0000-000000000000}" r:id="rId5" w:subsetted="0"/>
    <w:embedBold w:fontKey="{00000000-0000-0000-0000-000000000000}" r:id="rId6" w:subsetted="0"/>
  </w:font>
  <w:font w:name="Arial Black">
    <w:embedRegular w:fontKey="{00000000-0000-0000-0000-000000000000}" r:id="rId7" w:subsetted="0"/>
  </w:font>
  <w:font w:name="Cambria Math">
    <w:embedRegular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7"/>
      <w:tblW w:w="10060.0" w:type="dxa"/>
      <w:jc w:val="left"/>
      <w:tblInd w:w="-1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474"/>
      <w:gridCol w:w="3969"/>
      <w:gridCol w:w="617"/>
      <w:tblGridChange w:id="0">
        <w:tblGrid>
          <w:gridCol w:w="5474"/>
          <w:gridCol w:w="3969"/>
          <w:gridCol w:w="617"/>
        </w:tblGrid>
      </w:tblGridChange>
    </w:tblGrid>
    <w:tr>
      <w:trPr>
        <w:cantSplit w:val="0"/>
        <w:tblHeader w:val="0"/>
      </w:trPr>
      <w:tc>
        <w:tcPr/>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w:cs="Arial" w:eastAsia="Arial" w:hAnsi="Arial"/>
              <w:b w:val="1"/>
              <w:i w:val="1"/>
              <w:smallCaps w:val="0"/>
              <w:strike w:val="0"/>
              <w:color w:val="808080"/>
              <w:sz w:val="13"/>
              <w:szCs w:val="13"/>
              <w:u w:val="none"/>
              <w:shd w:fill="auto" w:val="clear"/>
              <w:vertAlign w:val="baseline"/>
            </w:rPr>
          </w:pPr>
          <w:r w:rsidDel="00000000" w:rsidR="00000000" w:rsidRPr="00000000">
            <w:rPr>
              <w:rFonts w:ascii="Arial" w:cs="Arial" w:eastAsia="Arial" w:hAnsi="Arial"/>
              <w:b w:val="1"/>
              <w:i w:val="1"/>
              <w:smallCaps w:val="0"/>
              <w:strike w:val="0"/>
              <w:color w:val="808080"/>
              <w:sz w:val="13"/>
              <w:szCs w:val="13"/>
              <w:u w:val="none"/>
              <w:shd w:fill="auto" w:val="clear"/>
              <w:vertAlign w:val="baseline"/>
              <w:rtl w:val="0"/>
            </w:rPr>
            <w:t xml:space="preserve">Comité d’organisation des Jeux Olympiques et Paralympiques de Paris 2024</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-634999</wp:posOffset>
                    </wp:positionH>
                    <wp:positionV relativeFrom="paragraph">
                      <wp:posOffset>10185400</wp:posOffset>
                    </wp:positionV>
                    <wp:extent cx="7566025" cy="166370"/>
                    <wp:effectExtent b="0" l="0" r="0" t="0"/>
                    <wp:wrapNone/>
                    <wp:docPr descr="{&quot;HashCode&quot;:1773127019,&quot;Height&quot;:842.0,&quot;Width&quot;:595.0,&quot;Placement&quot;:&quot;Footer&quot;,&quot;Index&quot;:&quot;Primary&quot;,&quot;Section&quot;:1,&quot;Top&quot;:0.0,&quot;Left&quot;:0.0}" id="59" name=""/>
                    <a:graphic>
                      <a:graphicData uri="http://schemas.microsoft.com/office/word/2010/wordprocessingShape">
                        <wps:wsp>
                          <wps:cNvSpPr/>
                          <wps:cNvPr id="5" name="Shape 5"/>
                          <wps:spPr>
                            <a:xfrm>
                              <a:off x="1567750" y="3701578"/>
                              <a:ext cx="7556500" cy="156845"/>
                            </a:xfrm>
                            <a:prstGeom prst="rect">
                              <a:avLst/>
                            </a:prstGeom>
                            <a:noFill/>
                            <a:ln>
                              <a:noFill/>
                            </a:ln>
                          </wps:spPr>
                          <wps:txbx>
                            <w:txbxContent>
                              <w:p w:rsidR="00000000" w:rsidDel="00000000" w:rsidP="00000000" w:rsidRDefault="00000000" w:rsidRPr="00000000">
                                <w:pPr>
                                  <w:spacing w:after="0" w:before="0" w:line="288.0000114440918"/>
                                  <w:ind w:left="0" w:right="0" w:firstLine="0"/>
                                  <w:jc w:val="left"/>
                                  <w:textDirection w:val="btLr"/>
                                </w:pPr>
                                <w:r w:rsidDel="00000000" w:rsidR="00000000" w:rsidRPr="00000000">
                                  <w:rPr>
                                    <w:rFonts w:ascii="Arial Black" w:cs="Arial Black" w:eastAsia="Arial Black" w:hAnsi="Arial Black"/>
                                    <w:b w:val="0"/>
                                    <w:i w:val="0"/>
                                    <w:smallCaps w:val="0"/>
                                    <w:strike w:val="0"/>
                                    <w:color w:val="006aff"/>
                                    <w:sz w:val="14"/>
                                    <w:vertAlign w:val="baseline"/>
                                  </w:rPr>
                                  <w:t xml:space="preserve">C1-INTERNAL</w:t>
                                </w:r>
                              </w:p>
                            </w:txbxContent>
                          </wps:txbx>
                          <wps:bodyPr anchorCtr="0" anchor="b" bIns="0" lIns="25400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-634999</wp:posOffset>
                    </wp:positionH>
                    <wp:positionV relativeFrom="paragraph">
                      <wp:posOffset>10185400</wp:posOffset>
                    </wp:positionV>
                    <wp:extent cx="7566025" cy="166370"/>
                    <wp:effectExtent b="0" l="0" r="0" t="0"/>
                    <wp:wrapNone/>
                    <wp:docPr descr="{&quot;HashCode&quot;:1773127019,&quot;Height&quot;:842.0,&quot;Width&quot;:595.0,&quot;Placement&quot;:&quot;Footer&quot;,&quot;Index&quot;:&quot;Primary&quot;,&quot;Section&quot;:1,&quot;Top&quot;:0.0,&quot;Left&quot;:0.0}" id="59" name="image9.png"/>
                    <a:graphic>
                      <a:graphicData uri="http://schemas.openxmlformats.org/drawingml/2006/picture">
                        <pic:pic>
                          <pic:nvPicPr>
                            <pic:cNvPr descr="{&quot;HashCode&quot;:1773127019,&quot;Height&quot;:842.0,&quot;Width&quot;:595.0,&quot;Placement&quot;:&quot;Footer&quot;,&quot;Index&quot;:&quot;Primary&quot;,&quot;Section&quot;:1,&quot;Top&quot;:0.0,&quot;Left&quot;:0.0}" id="0" name="image9.png"/>
                            <pic:cNvPicPr preferRelativeResize="0"/>
                          </pic:nvPicPr>
                          <pic:blipFill>
                            <a:blip r:embed="rId1"/>
                            <a:srcRect/>
                            <a:stretch>
                              <a:fillRect/>
                            </a:stretch>
                          </pic:blipFill>
                          <pic:spPr>
                            <a:xfrm>
                              <a:off x="0" y="0"/>
                              <a:ext cx="7566025" cy="1663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-634999</wp:posOffset>
                    </wp:positionH>
                    <wp:positionV relativeFrom="paragraph">
                      <wp:posOffset>10185400</wp:posOffset>
                    </wp:positionV>
                    <wp:extent cx="7566025" cy="166370"/>
                    <wp:effectExtent b="0" l="0" r="0" t="0"/>
                    <wp:wrapNone/>
                    <wp:docPr descr="{&quot;HashCode&quot;:1773127019,&quot;Height&quot;:842.0,&quot;Width&quot;:595.0,&quot;Placement&quot;:&quot;Footer&quot;,&quot;Index&quot;:&quot;Primary&quot;,&quot;Section&quot;:1,&quot;Top&quot;:0.0,&quot;Left&quot;:0.0}" id="57" name=""/>
                    <a:graphic>
                      <a:graphicData uri="http://schemas.microsoft.com/office/word/2010/wordprocessingShape">
                        <wps:wsp>
                          <wps:cNvSpPr/>
                          <wps:cNvPr id="3" name="Shape 3"/>
                          <wps:spPr>
                            <a:xfrm>
                              <a:off x="1567750" y="3701578"/>
                              <a:ext cx="7556500" cy="156845"/>
                            </a:xfrm>
                            <a:prstGeom prst="rect">
                              <a:avLst/>
                            </a:prstGeom>
                            <a:noFill/>
                            <a:ln>
                              <a:noFill/>
                            </a:ln>
                          </wps:spPr>
                          <wps:txbx>
                            <w:txbxContent>
                              <w:p w:rsidR="00000000" w:rsidDel="00000000" w:rsidP="00000000" w:rsidRDefault="00000000" w:rsidRPr="00000000">
                                <w:pPr>
                                  <w:spacing w:after="0" w:before="0" w:line="288.0000114440918"/>
                                  <w:ind w:left="0" w:right="0" w:firstLine="0"/>
                                  <w:jc w:val="left"/>
                                  <w:textDirection w:val="btLr"/>
                                </w:pPr>
                                <w:r w:rsidDel="00000000" w:rsidR="00000000" w:rsidRPr="00000000">
                                  <w:rPr>
                                    <w:rFonts w:ascii="Arial Black" w:cs="Arial Black" w:eastAsia="Arial Black" w:hAnsi="Arial Black"/>
                                    <w:b w:val="0"/>
                                    <w:i w:val="0"/>
                                    <w:smallCaps w:val="0"/>
                                    <w:strike w:val="0"/>
                                    <w:color w:val="006aff"/>
                                    <w:sz w:val="14"/>
                                    <w:vertAlign w:val="baseline"/>
                                  </w:rPr>
                                  <w:t xml:space="preserve">C1-INTERNAL</w:t>
                                </w:r>
                              </w:p>
                            </w:txbxContent>
                          </wps:txbx>
                          <wps:bodyPr anchorCtr="0" anchor="b" bIns="0" lIns="25400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-634999</wp:posOffset>
                    </wp:positionH>
                    <wp:positionV relativeFrom="paragraph">
                      <wp:posOffset>10185400</wp:posOffset>
                    </wp:positionV>
                    <wp:extent cx="7566025" cy="166370"/>
                    <wp:effectExtent b="0" l="0" r="0" t="0"/>
                    <wp:wrapNone/>
                    <wp:docPr descr="{&quot;HashCode&quot;:1773127019,&quot;Height&quot;:842.0,&quot;Width&quot;:595.0,&quot;Placement&quot;:&quot;Footer&quot;,&quot;Index&quot;:&quot;Primary&quot;,&quot;Section&quot;:1,&quot;Top&quot;:0.0,&quot;Left&quot;:0.0}" id="57" name="image7.png"/>
                    <a:graphic>
                      <a:graphicData uri="http://schemas.openxmlformats.org/drawingml/2006/picture">
                        <pic:pic>
                          <pic:nvPicPr>
                            <pic:cNvPr descr="{&quot;HashCode&quot;:1773127019,&quot;Height&quot;:842.0,&quot;Width&quot;:595.0,&quot;Placement&quot;:&quot;Footer&quot;,&quot;Index&quot;:&quot;Primary&quot;,&quot;Section&quot;:1,&quot;Top&quot;:0.0,&quot;Left&quot;:0.0}" id="0" name="image7.png"/>
                            <pic:cNvPicPr preferRelativeResize="0"/>
                          </pic:nvPicPr>
                          <pic:blipFill>
                            <a:blip r:embed="rId2"/>
                            <a:srcRect/>
                            <a:stretch>
                              <a:fillRect/>
                            </a:stretch>
                          </pic:blipFill>
                          <pic:spPr>
                            <a:xfrm>
                              <a:off x="0" y="0"/>
                              <a:ext cx="7566025" cy="1663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-634999</wp:posOffset>
                    </wp:positionH>
                    <wp:positionV relativeFrom="paragraph">
                      <wp:posOffset>10185400</wp:posOffset>
                    </wp:positionV>
                    <wp:extent cx="7566025" cy="166370"/>
                    <wp:effectExtent b="0" l="0" r="0" t="0"/>
                    <wp:wrapNone/>
                    <wp:docPr descr="{&quot;HashCode&quot;:1773127019,&quot;Height&quot;:842.0,&quot;Width&quot;:595.0,&quot;Placement&quot;:&quot;Footer&quot;,&quot;Index&quot;:&quot;Primary&quot;,&quot;Section&quot;:1,&quot;Top&quot;:0.0,&quot;Left&quot;:0.0}" id="58" name=""/>
                    <a:graphic>
                      <a:graphicData uri="http://schemas.microsoft.com/office/word/2010/wordprocessingShape">
                        <wps:wsp>
                          <wps:cNvSpPr/>
                          <wps:cNvPr id="4" name="Shape 4"/>
                          <wps:spPr>
                            <a:xfrm>
                              <a:off x="1567750" y="3701578"/>
                              <a:ext cx="7556500" cy="156845"/>
                            </a:xfrm>
                            <a:prstGeom prst="rect">
                              <a:avLst/>
                            </a:prstGeom>
                            <a:noFill/>
                            <a:ln>
                              <a:noFill/>
                            </a:ln>
                          </wps:spPr>
                          <wps:txbx>
                            <w:txbxContent>
                              <w:p w:rsidR="00000000" w:rsidDel="00000000" w:rsidP="00000000" w:rsidRDefault="00000000" w:rsidRPr="00000000">
                                <w:pPr>
                                  <w:spacing w:after="0" w:before="0" w:line="288.0000114440918"/>
                                  <w:ind w:left="0" w:right="0" w:firstLine="0"/>
                                  <w:jc w:val="left"/>
                                  <w:textDirection w:val="btLr"/>
                                </w:pPr>
                                <w:r w:rsidDel="00000000" w:rsidR="00000000" w:rsidRPr="00000000">
                                  <w:rPr>
                                    <w:rFonts w:ascii="Arial Black" w:cs="Arial Black" w:eastAsia="Arial Black" w:hAnsi="Arial Black"/>
                                    <w:b w:val="0"/>
                                    <w:i w:val="0"/>
                                    <w:smallCaps w:val="0"/>
                                    <w:strike w:val="0"/>
                                    <w:color w:val="006aff"/>
                                    <w:sz w:val="14"/>
                                    <w:vertAlign w:val="baseline"/>
                                  </w:rPr>
                                  <w:t xml:space="preserve">C1-INTERNAL</w:t>
                                </w:r>
                              </w:p>
                            </w:txbxContent>
                          </wps:txbx>
                          <wps:bodyPr anchorCtr="0" anchor="b" bIns="0" lIns="25400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-634999</wp:posOffset>
                    </wp:positionH>
                    <wp:positionV relativeFrom="paragraph">
                      <wp:posOffset>10185400</wp:posOffset>
                    </wp:positionV>
                    <wp:extent cx="7566025" cy="166370"/>
                    <wp:effectExtent b="0" l="0" r="0" t="0"/>
                    <wp:wrapNone/>
                    <wp:docPr descr="{&quot;HashCode&quot;:1773127019,&quot;Height&quot;:842.0,&quot;Width&quot;:595.0,&quot;Placement&quot;:&quot;Footer&quot;,&quot;Index&quot;:&quot;Primary&quot;,&quot;Section&quot;:1,&quot;Top&quot;:0.0,&quot;Left&quot;:0.0}" id="58" name="image8.png"/>
                    <a:graphic>
                      <a:graphicData uri="http://schemas.openxmlformats.org/drawingml/2006/picture">
                        <pic:pic>
                          <pic:nvPicPr>
                            <pic:cNvPr descr="{&quot;HashCode&quot;:1773127019,&quot;Height&quot;:842.0,&quot;Width&quot;:595.0,&quot;Placement&quot;:&quot;Footer&quot;,&quot;Index&quot;:&quot;Primary&quot;,&quot;Section&quot;:1,&quot;Top&quot;:0.0,&quot;Left&quot;:0.0}" id="0" name="image8.png"/>
                            <pic:cNvPicPr preferRelativeResize="0"/>
                          </pic:nvPicPr>
                          <pic:blipFill>
                            <a:blip r:embed="rId3"/>
                            <a:srcRect/>
                            <a:stretch>
                              <a:fillRect/>
                            </a:stretch>
                          </pic:blipFill>
                          <pic:spPr>
                            <a:xfrm>
                              <a:off x="0" y="0"/>
                              <a:ext cx="7566025" cy="166370"/>
                            </a:xfrm>
                            <a:prstGeom prst="rect"/>
                            <a:ln/>
                          </pic:spPr>
                        </pic:pic>
                      </a:graphicData>
                    </a:graphic>
                  </wp:anchor>
                </w:drawing>
              </mc:Fallback>
            </mc:AlternateContent>
          </w:r>
        </w:p>
      </w:tc>
      <w:tc>
        <w:tcPr>
          <w:vAlign w:val="center"/>
        </w:tcPr>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750" w:firstLine="0"/>
            <w:jc w:val="center"/>
            <w:rPr>
              <w:rFonts w:ascii="Arial" w:cs="Arial" w:eastAsia="Arial" w:hAnsi="Arial"/>
              <w:b w:val="1"/>
              <w:i w:val="1"/>
              <w:smallCaps w:val="0"/>
              <w:strike w:val="0"/>
              <w:color w:val="808080"/>
              <w:sz w:val="13"/>
              <w:szCs w:val="13"/>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1"/>
              <w:i w:val="1"/>
              <w:smallCaps w:val="0"/>
              <w:strike w:val="0"/>
              <w:color w:val="808080"/>
              <w:sz w:val="13"/>
              <w:szCs w:val="13"/>
              <w:u w:val="none"/>
              <w:shd w:fill="auto" w:val="clear"/>
              <w:vertAlign w:val="baseline"/>
            </w:rPr>
          </w:pPr>
          <w:r w:rsidDel="00000000" w:rsidR="00000000" w:rsidRPr="00000000">
            <w:rPr>
              <w:rFonts w:ascii="Arial" w:cs="Arial" w:eastAsia="Arial" w:hAnsi="Arial"/>
              <w:b w:val="1"/>
              <w:i w:val="1"/>
              <w:smallCaps w:val="0"/>
              <w:strike w:val="0"/>
              <w:color w:val="808080"/>
              <w:sz w:val="13"/>
              <w:szCs w:val="13"/>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1"/>
              <w:i w:val="1"/>
              <w:smallCaps w:val="0"/>
              <w:strike w:val="0"/>
              <w:color w:val="808080"/>
              <w:sz w:val="13"/>
              <w:szCs w:val="13"/>
              <w:u w:val="none"/>
              <w:shd w:fill="auto" w:val="clear"/>
              <w:vertAlign w:val="baseline"/>
              <w:rtl w:val="0"/>
            </w:rPr>
            <w:t xml:space="preserve"> / </w:t>
          </w:r>
          <w:r w:rsidDel="00000000" w:rsidR="00000000" w:rsidRPr="00000000">
            <w:rPr>
              <w:rFonts w:ascii="Arial" w:cs="Arial" w:eastAsia="Arial" w:hAnsi="Arial"/>
              <w:b w:val="1"/>
              <w:i w:val="1"/>
              <w:smallCaps w:val="0"/>
              <w:strike w:val="0"/>
              <w:color w:val="808080"/>
              <w:sz w:val="13"/>
              <w:szCs w:val="13"/>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r>
      <w:trPr>
        <w:cantSplit w:val="0"/>
        <w:trHeight w:val="283" w:hRule="atLeast"/>
        <w:tblHeader w:val="0"/>
      </w:trPr>
      <w:tc>
        <w:tcPr>
          <w:vAlign w:val="bottom"/>
        </w:tcPr>
        <w:p w:rsidR="00000000" w:rsidDel="00000000" w:rsidP="00000000" w:rsidRDefault="00000000" w:rsidRPr="00000000" w14:paraId="000003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1"/>
              <w:i w:val="0"/>
              <w:smallCaps w:val="0"/>
              <w:strike w:val="0"/>
              <w:color w:val="006aff"/>
              <w:sz w:val="15"/>
              <w:szCs w:val="15"/>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750" w:firstLine="0"/>
            <w:jc w:val="center"/>
            <w:rPr>
              <w:rFonts w:ascii="Arial" w:cs="Arial" w:eastAsia="Arial" w:hAnsi="Arial"/>
              <w:b w:val="1"/>
              <w:i w:val="1"/>
              <w:smallCaps w:val="0"/>
              <w:strike w:val="0"/>
              <w:color w:val="808080"/>
              <w:sz w:val="13"/>
              <w:szCs w:val="13"/>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Arial" w:cs="Arial" w:eastAsia="Arial" w:hAnsi="Arial"/>
              <w:b w:val="1"/>
              <w:i w:val="1"/>
              <w:smallCaps w:val="0"/>
              <w:strike w:val="0"/>
              <w:color w:val="808080"/>
              <w:sz w:val="13"/>
              <w:szCs w:val="13"/>
              <w:u w:val="none"/>
              <w:shd w:fill="auto" w:val="clear"/>
              <w:vertAlign w:val="baseline"/>
            </w:rPr>
          </w:pPr>
          <w:r w:rsidDel="00000000" w:rsidR="00000000" w:rsidRPr="00000000">
            <w:rPr>
              <w:rtl w:val="0"/>
            </w:rPr>
          </w:r>
        </w:p>
      </w:tc>
    </w:tr>
  </w:tbl>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750" w:firstLine="0"/>
      <w:jc w:val="both"/>
      <w:rPr>
        <w:rFonts w:ascii="Arial" w:cs="Arial" w:eastAsia="Arial" w:hAnsi="Arial"/>
        <w:b w:val="1"/>
        <w:i w:val="1"/>
        <w:smallCaps w:val="0"/>
        <w:strike w:val="0"/>
        <w:color w:val="808080"/>
        <w:sz w:val="13"/>
        <w:szCs w:val="13"/>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Arial" w:cs="Arial" w:eastAsia="Arial" w:hAnsi="Arial"/>
        <w:b w:val="1"/>
        <w:i w:val="1"/>
        <w:smallCaps w:val="0"/>
        <w:strike w:val="0"/>
        <w:color w:val="000000"/>
        <w:sz w:val="21"/>
        <w:szCs w:val="21"/>
        <w:u w:val="none"/>
        <w:shd w:fill="auto" w:val="clear"/>
        <w:vertAlign w:val="baseline"/>
      </w:rPr>
    </w:pPr>
    <w:r w:rsidDel="00000000" w:rsidR="00000000" w:rsidRPr="00000000">
      <w:rPr>
        <w:rFonts w:ascii="Arial" w:cs="Arial" w:eastAsia="Arial" w:hAnsi="Arial"/>
        <w:b w:val="1"/>
        <w:i w:val="1"/>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both"/>
      <w:rPr>
        <w:rFonts w:ascii="Arial" w:cs="Arial" w:eastAsia="Arial" w:hAnsi="Arial"/>
        <w:b w:val="1"/>
        <w:i w:val="1"/>
        <w:smallCaps w:val="0"/>
        <w:strike w:val="0"/>
        <w:color w:val="000000"/>
        <w:sz w:val="21"/>
        <w:szCs w:val="21"/>
        <w:u w:val="none"/>
        <w:shd w:fill="auto" w:val="clear"/>
        <w:vertAlign w:val="baseline"/>
      </w:rPr>
    </w:pPr>
    <w:r w:rsidDel="00000000" w:rsidR="00000000" w:rsidRPr="00000000">
      <w:rPr>
        <w:rFonts w:ascii="Arial" w:cs="Arial" w:eastAsia="Arial" w:hAnsi="Arial"/>
        <w:b w:val="1"/>
        <w:i w:val="1"/>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w:cs="Arial" w:eastAsia="Arial" w:hAnsi="Arial"/>
        <w:b w:val="1"/>
        <w:i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w:cs="Arial" w:eastAsia="Arial" w:hAnsi="Arial"/>
        <w:b w:val="1"/>
        <w:i w:val="1"/>
        <w:smallCaps w:val="0"/>
        <w:strike w:val="0"/>
        <w:color w:val="808080"/>
        <w:sz w:val="13"/>
        <w:szCs w:val="13"/>
        <w:u w:val="none"/>
        <w:shd w:fill="auto" w:val="clear"/>
        <w:vertAlign w:val="baseline"/>
      </w:rPr>
    </w:pPr>
    <w:r w:rsidDel="00000000" w:rsidR="00000000" w:rsidRPr="00000000">
      <w:rPr>
        <w:rtl w:val="0"/>
      </w:rPr>
    </w:r>
  </w:p>
  <w:p w:rsidR="00000000" w:rsidDel="00000000" w:rsidP="00000000" w:rsidRDefault="00000000" w:rsidRPr="00000000" w14:paraId="000003A3">
    <w:pPr>
      <w:rPr/>
    </w:pPr>
    <w:r w:rsidDel="00000000" w:rsidR="00000000" w:rsidRPr="00000000">
      <w:rPr>
        <w:rtl w:val="0"/>
      </w:rPr>
    </w:r>
  </w:p>
  <w:p w:rsidR="00000000" w:rsidDel="00000000" w:rsidP="00000000" w:rsidRDefault="00000000" w:rsidRPr="00000000" w14:paraId="000003A4">
    <w:pPr>
      <w:rPr/>
    </w:pPr>
    <w:r w:rsidDel="00000000" w:rsidR="00000000" w:rsidRPr="00000000">
      <w:rPr>
        <w:rtl w:val="0"/>
      </w:rPr>
    </w:r>
  </w:p>
  <w:p w:rsidR="00000000" w:rsidDel="00000000" w:rsidP="00000000" w:rsidRDefault="00000000" w:rsidRPr="00000000" w14:paraId="000003A5">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w:cs="Arial" w:eastAsia="Arial" w:hAnsi="Arial"/>
        <w:b w:val="1"/>
        <w:i w:val="1"/>
        <w:smallCaps w:val="0"/>
        <w:strike w:val="0"/>
        <w:color w:val="808080"/>
        <w:sz w:val="13"/>
        <w:szCs w:val="13"/>
        <w:u w:val="none"/>
        <w:shd w:fill="auto" w:val="clear"/>
        <w:vertAlign w:val="baseline"/>
      </w:rPr>
    </w:pPr>
    <w:r w:rsidDel="00000000" w:rsidR="00000000" w:rsidRPr="00000000">
      <w:rPr>
        <w:rFonts w:ascii="Arial" w:cs="Arial" w:eastAsia="Arial" w:hAnsi="Arial"/>
        <w:b w:val="1"/>
        <w:i w:val="1"/>
        <w:smallCaps w:val="0"/>
        <w:strike w:val="0"/>
        <w:color w:val="808080"/>
        <w:sz w:val="13"/>
        <w:szCs w:val="13"/>
        <w:u w:val="none"/>
        <w:shd w:fill="auto" w:val="clear"/>
        <w:vertAlign w:val="baseline"/>
        <w:rtl w:val="0"/>
      </w:rPr>
      <w:t xml:space="preserve">Comité d’organisation des Jeux Olympiques et Paralympiques de Paris 2024</w:t>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w:cs="Arial" w:eastAsia="Arial" w:hAnsi="Arial"/>
        <w:b w:val="1"/>
        <w:i w:val="1"/>
        <w:smallCaps w:val="0"/>
        <w:strike w:val="0"/>
        <w:color w:val="808080"/>
        <w:sz w:val="13"/>
        <w:szCs w:val="13"/>
        <w:u w:val="none"/>
        <w:shd w:fill="auto" w:val="clear"/>
        <w:vertAlign w:val="baseline"/>
      </w:rPr>
    </w:pPr>
    <w:r w:rsidDel="00000000" w:rsidR="00000000" w:rsidRPr="00000000">
      <w:rPr>
        <w:rtl w:val="0"/>
      </w:rPr>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both"/>
      <w:rPr>
        <w:rFonts w:ascii="Arial" w:cs="Arial" w:eastAsia="Arial" w:hAnsi="Arial"/>
        <w:b w:val="1"/>
        <w:i w:val="1"/>
        <w:smallCaps w:val="0"/>
        <w:strike w:val="0"/>
        <w:color w:val="808080"/>
        <w:sz w:val="13"/>
        <w:szCs w:val="13"/>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94">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4241800</wp:posOffset>
              </wp:positionH>
              <wp:positionV relativeFrom="paragraph">
                <wp:posOffset>-139699</wp:posOffset>
              </wp:positionV>
              <wp:extent cx="2000885" cy="335280"/>
              <wp:effectExtent b="0" l="0" r="0" t="0"/>
              <wp:wrapNone/>
              <wp:docPr id="60" name=""/>
              <a:graphic>
                <a:graphicData uri="http://schemas.microsoft.com/office/word/2010/wordprocessingShape">
                  <wps:wsp>
                    <wps:cNvSpPr/>
                    <wps:cNvPr id="6" name="Shape 6"/>
                    <wps:spPr>
                      <a:xfrm>
                        <a:off x="4350320" y="3617123"/>
                        <a:ext cx="1991360" cy="325755"/>
                      </a:xfrm>
                      <a:prstGeom prst="rect">
                        <a:avLst/>
                      </a:prstGeom>
                      <a:solidFill>
                        <a:schemeClr val="lt1"/>
                      </a:solidFill>
                      <a:ln>
                        <a:noFill/>
                      </a:ln>
                    </wps:spPr>
                    <wps:txbx>
                      <w:txbxContent>
                        <w:p w:rsidR="00000000" w:rsidDel="00000000" w:rsidP="00000000" w:rsidRDefault="00000000" w:rsidRPr="00000000">
                          <w:pPr>
                            <w:spacing w:after="0" w:before="0" w:line="360"/>
                            <w:ind w:left="0" w:right="0" w:firstLine="0"/>
                            <w:jc w:val="righ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4241800</wp:posOffset>
              </wp:positionH>
              <wp:positionV relativeFrom="paragraph">
                <wp:posOffset>-139699</wp:posOffset>
              </wp:positionV>
              <wp:extent cx="2000885" cy="335280"/>
              <wp:effectExtent b="0" l="0" r="0" t="0"/>
              <wp:wrapNone/>
              <wp:docPr id="60"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2000885" cy="33528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95">
    <w:pPr>
      <w:rPr/>
    </w:pPr>
    <w:r w:rsidDel="00000000" w:rsidR="00000000" w:rsidRPr="00000000">
      <w:rPr/>
      <w:drawing>
        <wp:anchor allowOverlap="1" behindDoc="0" distB="0" distT="0" distL="114300" distR="114300" hidden="0" layoutInCell="1" locked="0" relativeHeight="0" simplePos="0">
          <wp:simplePos x="0" y="0"/>
          <wp:positionH relativeFrom="margin">
            <wp:posOffset>5080</wp:posOffset>
          </wp:positionH>
          <wp:positionV relativeFrom="margin">
            <wp:posOffset>-1059814</wp:posOffset>
          </wp:positionV>
          <wp:extent cx="1765300" cy="930275"/>
          <wp:effectExtent b="0" l="0" r="0" t="0"/>
          <wp:wrapSquare wrapText="bothSides" distB="0" distT="0" distL="114300" distR="114300"/>
          <wp:docPr id="65"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1765300" cy="930275"/>
                  </a:xfrm>
                  <a:prstGeom prst="rect"/>
                  <a:ln/>
                </pic:spPr>
              </pic:pic>
            </a:graphicData>
          </a:graphic>
        </wp:anchor>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2679700</wp:posOffset>
              </wp:positionH>
              <wp:positionV relativeFrom="paragraph">
                <wp:posOffset>-266699</wp:posOffset>
              </wp:positionV>
              <wp:extent cx="3567135" cy="252095"/>
              <wp:effectExtent b="0" l="0" r="0" t="0"/>
              <wp:wrapNone/>
              <wp:docPr id="56" name=""/>
              <a:graphic>
                <a:graphicData uri="http://schemas.microsoft.com/office/word/2010/wordprocessingShape">
                  <wps:wsp>
                    <wps:cNvSpPr/>
                    <wps:cNvPr id="2" name="Shape 2"/>
                    <wps:spPr>
                      <a:xfrm>
                        <a:off x="3567195" y="3658715"/>
                        <a:ext cx="3557610" cy="242570"/>
                      </a:xfrm>
                      <a:prstGeom prst="rect">
                        <a:avLst/>
                      </a:prstGeom>
                      <a:noFill/>
                      <a:ln>
                        <a:noFill/>
                      </a:ln>
                    </wps:spPr>
                    <wps:txbx>
                      <w:txbxContent>
                        <w:p w:rsidR="00000000" w:rsidDel="00000000" w:rsidP="00000000" w:rsidRDefault="00000000" w:rsidRPr="00000000">
                          <w:pPr>
                            <w:spacing w:after="0" w:before="0" w:line="360"/>
                            <w:ind w:left="0" w:right="0" w:firstLine="0"/>
                            <w:jc w:val="right"/>
                            <w:textDirection w:val="btLr"/>
                          </w:pPr>
                          <w:r w:rsidDel="00000000" w:rsidR="00000000" w:rsidRPr="00000000">
                            <w:rPr>
                              <w:rFonts w:ascii="Arial" w:cs="Arial" w:eastAsia="Arial" w:hAnsi="Arial"/>
                              <w:b w:val="1"/>
                              <w:i w:val="1"/>
                              <w:smallCaps w:val="1"/>
                              <w:strike w:val="0"/>
                              <w:color w:val="000000"/>
                              <w:sz w:val="12"/>
                              <w:vertAlign w:val="baseline"/>
                            </w:rPr>
                            <w:t xml:space="preserve">STATIONNEMENT VELOS SPECTATEURS ET ACCREDITES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2679700</wp:posOffset>
              </wp:positionH>
              <wp:positionV relativeFrom="paragraph">
                <wp:posOffset>-266699</wp:posOffset>
              </wp:positionV>
              <wp:extent cx="3567135" cy="252095"/>
              <wp:effectExtent b="0" l="0" r="0" t="0"/>
              <wp:wrapNone/>
              <wp:docPr id="56"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3567135" cy="252095"/>
                      </a:xfrm>
                      <a:prstGeom prst="rect"/>
                      <a:ln/>
                    </pic:spPr>
                  </pic:pic>
                </a:graphicData>
              </a:graphic>
            </wp:anchor>
          </w:drawing>
        </mc:Fallback>
      </mc:AlternateContent>
    </w:r>
  </w:p>
  <w:p w:rsidR="00000000" w:rsidDel="00000000" w:rsidP="00000000" w:rsidRDefault="00000000" w:rsidRPr="00000000" w14:paraId="0000039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lvl>
    <w:lvl w:ilvl="1">
      <w:start w:val="1"/>
      <w:numFmt w:val="decimal"/>
      <w:lvlText w:val="%1.%2."/>
      <w:lvlJc w:val="left"/>
      <w:pPr>
        <w:ind w:left="716" w:hanging="432.0000000000001"/>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bullet"/>
      <w:lvlText w:val="●"/>
      <w:lvlJc w:val="left"/>
      <w:pPr>
        <w:ind w:left="1119" w:hanging="360"/>
      </w:pPr>
      <w:rPr>
        <w:rFonts w:ascii="Noto Sans Symbols" w:cs="Noto Sans Symbols" w:eastAsia="Noto Sans Symbols" w:hAnsi="Noto Sans Symbols"/>
      </w:rPr>
    </w:lvl>
    <w:lvl w:ilvl="1">
      <w:start w:val="1"/>
      <w:numFmt w:val="bullet"/>
      <w:lvlText w:val="o"/>
      <w:lvlJc w:val="left"/>
      <w:pPr>
        <w:ind w:left="1839" w:hanging="360"/>
      </w:pPr>
      <w:rPr>
        <w:rFonts w:ascii="Courier New" w:cs="Courier New" w:eastAsia="Courier New" w:hAnsi="Courier New"/>
      </w:rPr>
    </w:lvl>
    <w:lvl w:ilvl="2">
      <w:start w:val="1"/>
      <w:numFmt w:val="bullet"/>
      <w:lvlText w:val="▪"/>
      <w:lvlJc w:val="left"/>
      <w:pPr>
        <w:ind w:left="2559" w:hanging="360"/>
      </w:pPr>
      <w:rPr>
        <w:rFonts w:ascii="Noto Sans Symbols" w:cs="Noto Sans Symbols" w:eastAsia="Noto Sans Symbols" w:hAnsi="Noto Sans Symbols"/>
      </w:rPr>
    </w:lvl>
    <w:lvl w:ilvl="3">
      <w:start w:val="1"/>
      <w:numFmt w:val="bullet"/>
      <w:lvlText w:val="●"/>
      <w:lvlJc w:val="left"/>
      <w:pPr>
        <w:ind w:left="3279" w:hanging="360"/>
      </w:pPr>
      <w:rPr>
        <w:rFonts w:ascii="Noto Sans Symbols" w:cs="Noto Sans Symbols" w:eastAsia="Noto Sans Symbols" w:hAnsi="Noto Sans Symbols"/>
      </w:rPr>
    </w:lvl>
    <w:lvl w:ilvl="4">
      <w:start w:val="1"/>
      <w:numFmt w:val="bullet"/>
      <w:lvlText w:val="o"/>
      <w:lvlJc w:val="left"/>
      <w:pPr>
        <w:ind w:left="3999" w:hanging="360"/>
      </w:pPr>
      <w:rPr>
        <w:rFonts w:ascii="Courier New" w:cs="Courier New" w:eastAsia="Courier New" w:hAnsi="Courier New"/>
      </w:rPr>
    </w:lvl>
    <w:lvl w:ilvl="5">
      <w:start w:val="1"/>
      <w:numFmt w:val="bullet"/>
      <w:lvlText w:val="▪"/>
      <w:lvlJc w:val="left"/>
      <w:pPr>
        <w:ind w:left="4719" w:hanging="360"/>
      </w:pPr>
      <w:rPr>
        <w:rFonts w:ascii="Noto Sans Symbols" w:cs="Noto Sans Symbols" w:eastAsia="Noto Sans Symbols" w:hAnsi="Noto Sans Symbols"/>
      </w:rPr>
    </w:lvl>
    <w:lvl w:ilvl="6">
      <w:start w:val="1"/>
      <w:numFmt w:val="bullet"/>
      <w:lvlText w:val="●"/>
      <w:lvlJc w:val="left"/>
      <w:pPr>
        <w:ind w:left="5439" w:hanging="360"/>
      </w:pPr>
      <w:rPr>
        <w:rFonts w:ascii="Noto Sans Symbols" w:cs="Noto Sans Symbols" w:eastAsia="Noto Sans Symbols" w:hAnsi="Noto Sans Symbols"/>
      </w:rPr>
    </w:lvl>
    <w:lvl w:ilvl="7">
      <w:start w:val="1"/>
      <w:numFmt w:val="bullet"/>
      <w:lvlText w:val="o"/>
      <w:lvlJc w:val="left"/>
      <w:pPr>
        <w:ind w:left="6159" w:hanging="360"/>
      </w:pPr>
      <w:rPr>
        <w:rFonts w:ascii="Courier New" w:cs="Courier New" w:eastAsia="Courier New" w:hAnsi="Courier New"/>
      </w:rPr>
    </w:lvl>
    <w:lvl w:ilvl="8">
      <w:start w:val="1"/>
      <w:numFmt w:val="bullet"/>
      <w:lvlText w:val="▪"/>
      <w:lvlJc w:val="left"/>
      <w:pPr>
        <w:ind w:left="6879"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decimal"/>
      <w:lvlText w:val="%1."/>
      <w:lvlJc w:val="left"/>
      <w:pPr>
        <w:ind w:left="720" w:hanging="360"/>
      </w:pPr>
      <w:rPr/>
    </w:lvl>
    <w:lvl w:ilvl="1">
      <w:start w:val="1"/>
      <w:numFmt w:val="decimal"/>
      <w:lvlText w:val="%1.%2."/>
      <w:lvlJc w:val="left"/>
      <w:pPr>
        <w:ind w:left="1287" w:hanging="720.0000000000001"/>
      </w:pPr>
      <w:rPr/>
    </w:lvl>
    <w:lvl w:ilvl="2">
      <w:start w:val="1"/>
      <w:numFmt w:val="decimal"/>
      <w:lvlText w:val="%1.%2.%3."/>
      <w:lvlJc w:val="left"/>
      <w:pPr>
        <w:ind w:left="1760" w:hanging="1335"/>
      </w:pPr>
      <w:rPr>
        <w:b w:val="1"/>
      </w:rPr>
    </w:lvl>
    <w:lvl w:ilvl="3">
      <w:start w:val="1"/>
      <w:numFmt w:val="decimal"/>
      <w:lvlText w:val="%1.%2.%3."/>
      <w:lvlJc w:val="left"/>
      <w:pPr>
        <w:ind w:left="1800" w:hanging="1440"/>
      </w:pPr>
      <w:rPr/>
    </w:lvl>
    <w:lvl w:ilvl="4">
      <w:start w:val="1"/>
      <w:numFmt w:val="decimal"/>
      <w:lvlText w:val="%1.%2.%3.%4.%5."/>
      <w:lvlJc w:val="left"/>
      <w:pPr>
        <w:ind w:left="2160" w:hanging="1800"/>
      </w:pPr>
      <w:rPr>
        <w:rFonts w:ascii="Paris2024" w:cs="Paris2024" w:eastAsia="Paris2024" w:hAnsi="Paris2024"/>
      </w:rPr>
    </w:lvl>
    <w:lvl w:ilvl="5">
      <w:start w:val="1"/>
      <w:numFmt w:val="decimal"/>
      <w:lvlText w:val="%1.%2.%3.%4.%5.%6."/>
      <w:lvlJc w:val="left"/>
      <w:pPr>
        <w:ind w:left="2160" w:hanging="1800"/>
      </w:pPr>
      <w:rPr/>
    </w:lvl>
    <w:lvl w:ilvl="6">
      <w:start w:val="1"/>
      <w:numFmt w:val="decimal"/>
      <w:lvlText w:val="%1.%2.%3.%4.%5.%6.%7."/>
      <w:lvlJc w:val="left"/>
      <w:pPr>
        <w:ind w:left="2520" w:hanging="2160"/>
      </w:pPr>
      <w:rPr/>
    </w:lvl>
    <w:lvl w:ilvl="7">
      <w:start w:val="1"/>
      <w:numFmt w:val="decimal"/>
      <w:lvlText w:val="%1.%2.%3.%4.%5.%6.%7.%8."/>
      <w:lvlJc w:val="left"/>
      <w:pPr>
        <w:ind w:left="2880" w:hanging="2520"/>
      </w:pPr>
      <w:rPr/>
    </w:lvl>
    <w:lvl w:ilvl="8">
      <w:start w:val="1"/>
      <w:numFmt w:val="decimal"/>
      <w:lvlText w:val="%1.%2.%3.%4.%5.%6.%7.%8.%9."/>
      <w:lvlJc w:val="left"/>
      <w:pPr>
        <w:ind w:left="3240" w:hanging="2880"/>
      </w:pPr>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fr-FR"/>
      </w:rPr>
    </w:rPrDefault>
    <w:pPrDefault>
      <w:pPr>
        <w:spacing w:line="288"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360" w:before="720" w:lineRule="auto"/>
      <w:ind w:left="360" w:hanging="360"/>
    </w:pPr>
    <w:rPr>
      <w:rFonts w:ascii="Paris2024" w:cs="Paris2024" w:eastAsia="Paris2024" w:hAnsi="Paris2024"/>
      <w:b w:val="1"/>
      <w:color w:val="d6c377"/>
      <w:sz w:val="52"/>
      <w:szCs w:val="52"/>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1004" w:right="0" w:hanging="360"/>
      <w:jc w:val="left"/>
    </w:pPr>
    <w:rPr>
      <w:rFonts w:ascii="Arial Black" w:cs="Arial Black" w:eastAsia="Arial Black" w:hAnsi="Arial Black"/>
      <w:b w:val="1"/>
      <w:i w:val="0"/>
      <w:smallCaps w:val="1"/>
      <w:strike w:val="0"/>
      <w:color w:val="000000"/>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1224" w:right="0" w:hanging="504.00000000000006"/>
      <w:jc w:val="left"/>
    </w:pPr>
    <w:rPr>
      <w:rFonts w:ascii="Source Sans Pro Light" w:cs="Source Sans Pro Light" w:eastAsia="Source Sans Pro Light" w:hAnsi="Source Sans Pro Light"/>
      <w:b w:val="1"/>
      <w:i w:val="1"/>
      <w:smallCaps w:val="0"/>
      <w:strike w:val="0"/>
      <w:color w:val="000000"/>
      <w:sz w:val="28"/>
      <w:szCs w:val="28"/>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Source Sans Pro Light" w:cs="Source Sans Pro Light" w:eastAsia="Source Sans Pro Light" w:hAnsi="Source Sans Pro Light"/>
      <w:b w:val="1"/>
      <w:i w:val="0"/>
      <w:smallCaps w:val="1"/>
      <w:strike w:val="0"/>
      <w:color w:val="006aff"/>
      <w:sz w:val="18"/>
      <w:szCs w:val="18"/>
      <w:u w:val="none"/>
      <w:shd w:fill="auto" w:val="clear"/>
      <w:vertAlign w:val="baseline"/>
    </w:rPr>
  </w:style>
  <w:style w:type="paragraph" w:styleId="Heading5">
    <w:name w:val="heading 5"/>
    <w:basedOn w:val="Normal"/>
    <w:next w:val="Normal"/>
    <w:pPr>
      <w:keepNext w:val="1"/>
      <w:keepLines w:val="1"/>
      <w:spacing w:before="40" w:lineRule="auto"/>
    </w:pPr>
    <w:rPr>
      <w:rFonts w:ascii="Paris2024" w:cs="Paris2024" w:eastAsia="Paris2024" w:hAnsi="Paris2024"/>
      <w:color w:val="008647"/>
    </w:rPr>
  </w:style>
  <w:style w:type="paragraph" w:styleId="Heading6">
    <w:name w:val="heading 6"/>
    <w:basedOn w:val="Normal"/>
    <w:next w:val="Normal"/>
    <w:pPr>
      <w:keepNext w:val="1"/>
      <w:keepLines w:val="1"/>
      <w:spacing w:before="40" w:lineRule="auto"/>
    </w:pPr>
    <w:rPr>
      <w:rFonts w:ascii="Paris2024" w:cs="Paris2024" w:eastAsia="Paris2024" w:hAnsi="Paris2024"/>
      <w:color w:val="00592f"/>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aliases w:val="Corps de texte SAU"/>
    <w:qFormat w:val="1"/>
    <w:rsid w:val="00F9469C"/>
    <w:pPr>
      <w:spacing w:line="288" w:lineRule="auto"/>
      <w:jc w:val="both"/>
    </w:pPr>
    <w:rPr>
      <w:rFonts w:ascii="Arial" w:hAnsi="Arial" w:eastAsiaTheme="minorHAnsi"/>
      <w:color w:val="000000" w:themeColor="text1"/>
      <w:sz w:val="20"/>
      <w:lang w:eastAsia="en-US"/>
    </w:rPr>
  </w:style>
  <w:style w:type="paragraph" w:styleId="Titre1">
    <w:name w:val="heading 1"/>
    <w:basedOn w:val="Normal"/>
    <w:next w:val="Normal"/>
    <w:link w:val="Titre1Car"/>
    <w:uiPriority w:val="9"/>
    <w:qFormat w:val="1"/>
    <w:rsid w:val="00907F50"/>
    <w:pPr>
      <w:numPr>
        <w:numId w:val="3"/>
      </w:numPr>
      <w:spacing w:after="360" w:before="720"/>
      <w:contextualSpacing w:val="1"/>
      <w:outlineLvl w:val="0"/>
    </w:pPr>
    <w:rPr>
      <w:rFonts w:asciiTheme="majorHAnsi" w:cstheme="majorBidi" w:eastAsiaTheme="majorEastAsia" w:hAnsiTheme="majorHAnsi"/>
      <w:b w:val="1"/>
      <w:bCs w:val="1"/>
      <w:noProof w:val="1"/>
      <w:color w:val="d6c377" w:themeColor="background2"/>
      <w:spacing w:val="-10"/>
      <w:kern w:val="28"/>
      <w:sz w:val="52"/>
      <w:szCs w:val="52"/>
    </w:rPr>
  </w:style>
  <w:style w:type="paragraph" w:styleId="Titre2">
    <w:name w:val="heading 2"/>
    <w:next w:val="Normal"/>
    <w:link w:val="Titre2Car"/>
    <w:autoRedefine w:val="1"/>
    <w:uiPriority w:val="9"/>
    <w:unhideWhenUsed w:val="1"/>
    <w:rsid w:val="00155B99"/>
    <w:pPr>
      <w:numPr>
        <w:numId w:val="20"/>
      </w:numPr>
      <w:spacing w:after="120" w:before="240"/>
      <w:outlineLvl w:val="1"/>
    </w:pPr>
    <w:rPr>
      <w:rFonts w:ascii="Arial Black" w:hAnsi="Arial Black" w:eastAsiaTheme="minorHAnsi"/>
      <w:b w:val="1"/>
      <w:bCs w:val="1"/>
      <w:caps w:val="1"/>
      <w:color w:val="000000" w:themeColor="text1"/>
      <w:spacing w:val="20"/>
      <w:sz w:val="28"/>
      <w:szCs w:val="28"/>
      <w:lang w:eastAsia="en-US"/>
    </w:rPr>
  </w:style>
  <w:style w:type="paragraph" w:styleId="Titre3">
    <w:name w:val="heading 3"/>
    <w:next w:val="Normal"/>
    <w:link w:val="Titre3Car"/>
    <w:uiPriority w:val="9"/>
    <w:unhideWhenUsed w:val="1"/>
    <w:rsid w:val="00324957"/>
    <w:pPr>
      <w:numPr>
        <w:ilvl w:val="2"/>
        <w:numId w:val="4"/>
      </w:numPr>
      <w:spacing w:after="240" w:before="240"/>
      <w:outlineLvl w:val="2"/>
    </w:pPr>
    <w:rPr>
      <w:rFonts w:eastAsiaTheme="minorHAnsi"/>
      <w:b w:val="1"/>
      <w:bCs w:val="1"/>
      <w:i w:val="1"/>
      <w:iCs w:val="1"/>
      <w:color w:val="000000" w:themeColor="text1"/>
      <w:sz w:val="28"/>
      <w:szCs w:val="28"/>
      <w:lang w:eastAsia="en-US" w:val="en-GB"/>
    </w:rPr>
  </w:style>
  <w:style w:type="paragraph" w:styleId="Titre4">
    <w:name w:val="heading 4"/>
    <w:aliases w:val="intertitre"/>
    <w:next w:val="Normal"/>
    <w:link w:val="Titre4Car"/>
    <w:autoRedefine w:val="1"/>
    <w:uiPriority w:val="9"/>
    <w:unhideWhenUsed w:val="1"/>
    <w:qFormat w:val="1"/>
    <w:rsid w:val="00941FC0"/>
    <w:pPr>
      <w:spacing w:after="120" w:before="360"/>
      <w:outlineLvl w:val="3"/>
    </w:pPr>
    <w:rPr>
      <w:rFonts w:eastAsiaTheme="minorHAnsi"/>
      <w:b w:val="1"/>
      <w:caps w:val="1"/>
      <w:color w:val="006aff" w:themeColor="accent3"/>
      <w:spacing w:val="20"/>
      <w:sz w:val="18"/>
      <w:szCs w:val="20"/>
      <w:lang w:eastAsia="en-US"/>
    </w:rPr>
  </w:style>
  <w:style w:type="paragraph" w:styleId="Titre5">
    <w:name w:val="heading 5"/>
    <w:basedOn w:val="Normal"/>
    <w:next w:val="Normal"/>
    <w:link w:val="Titre5Car"/>
    <w:uiPriority w:val="9"/>
    <w:unhideWhenUsed w:val="1"/>
    <w:rsid w:val="00941FC0"/>
    <w:pPr>
      <w:keepNext w:val="1"/>
      <w:keepLines w:val="1"/>
      <w:spacing w:before="40"/>
      <w:outlineLvl w:val="4"/>
    </w:pPr>
    <w:rPr>
      <w:rFonts w:asciiTheme="majorHAnsi" w:cstheme="majorBidi" w:eastAsiaTheme="majorEastAsia" w:hAnsiTheme="majorHAnsi"/>
      <w:color w:val="008646" w:themeColor="accent1" w:themeShade="0000BF"/>
    </w:rPr>
  </w:style>
  <w:style w:type="paragraph" w:styleId="Titre6">
    <w:name w:val="heading 6"/>
    <w:basedOn w:val="Normal"/>
    <w:next w:val="Normal"/>
    <w:link w:val="Titre6Car"/>
    <w:uiPriority w:val="9"/>
    <w:unhideWhenUsed w:val="1"/>
    <w:qFormat w:val="1"/>
    <w:rsid w:val="00941FC0"/>
    <w:pPr>
      <w:keepNext w:val="1"/>
      <w:keepLines w:val="1"/>
      <w:spacing w:before="40"/>
      <w:outlineLvl w:val="5"/>
    </w:pPr>
    <w:rPr>
      <w:rFonts w:asciiTheme="majorHAnsi" w:cstheme="majorBidi" w:eastAsiaTheme="majorEastAsia" w:hAnsiTheme="majorHAnsi"/>
      <w:color w:val="00592f" w:themeColor="accent1" w:themeShade="00007F"/>
    </w:rPr>
  </w:style>
  <w:style w:type="paragraph" w:styleId="Titre7">
    <w:name w:val="heading 7"/>
    <w:basedOn w:val="Normal"/>
    <w:next w:val="Normal"/>
    <w:link w:val="Titre7Car"/>
    <w:uiPriority w:val="9"/>
    <w:unhideWhenUsed w:val="1"/>
    <w:qFormat w:val="1"/>
    <w:rsid w:val="00941FC0"/>
    <w:pPr>
      <w:keepNext w:val="1"/>
      <w:keepLines w:val="1"/>
      <w:spacing w:before="40"/>
      <w:outlineLvl w:val="6"/>
    </w:pPr>
    <w:rPr>
      <w:rFonts w:asciiTheme="majorHAnsi" w:cstheme="majorBidi" w:eastAsiaTheme="majorEastAsia" w:hAnsiTheme="majorHAnsi"/>
      <w:i w:val="1"/>
      <w:iCs w:val="1"/>
      <w:color w:val="00592f" w:themeColor="accent1" w:themeShade="00007F"/>
    </w:rPr>
  </w:style>
  <w:style w:type="paragraph" w:styleId="Titre8">
    <w:name w:val="heading 8"/>
    <w:basedOn w:val="Normal"/>
    <w:next w:val="Normal"/>
    <w:link w:val="Titre8Car"/>
    <w:uiPriority w:val="9"/>
    <w:unhideWhenUsed w:val="1"/>
    <w:qFormat w:val="1"/>
    <w:rsid w:val="00941FC0"/>
    <w:pPr>
      <w:keepNext w:val="1"/>
      <w:keepLines w:val="1"/>
      <w:spacing w:before="40"/>
      <w:outlineLvl w:val="7"/>
    </w:pPr>
    <w:rPr>
      <w:rFonts w:asciiTheme="majorHAnsi" w:cstheme="majorBidi" w:eastAsiaTheme="majorEastAsia" w:hAnsiTheme="majorHAnsi"/>
      <w:color w:val="272727" w:themeColor="text1" w:themeTint="0000D8"/>
      <w:szCs w:val="21"/>
    </w:rPr>
  </w:style>
  <w:style w:type="paragraph" w:styleId="Titre9">
    <w:name w:val="heading 9"/>
    <w:basedOn w:val="Normal"/>
    <w:next w:val="Normal"/>
    <w:link w:val="Titre9Car"/>
    <w:uiPriority w:val="9"/>
    <w:semiHidden w:val="1"/>
    <w:unhideWhenUsed w:val="1"/>
    <w:qFormat w:val="1"/>
    <w:rsid w:val="00941FC0"/>
    <w:pPr>
      <w:keepNext w:val="1"/>
      <w:keepLines w:val="1"/>
      <w:spacing w:before="40"/>
      <w:outlineLvl w:val="8"/>
    </w:pPr>
    <w:rPr>
      <w:rFonts w:asciiTheme="majorHAnsi" w:cstheme="majorBidi" w:eastAsiaTheme="majorEastAsia" w:hAnsiTheme="majorHAnsi"/>
      <w:i w:val="1"/>
      <w:iCs w:val="1"/>
      <w:color w:val="272727" w:themeColor="text1" w:themeTint="0000D8"/>
      <w:szCs w:val="21"/>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Titredeparagraphe" w:customStyle="1">
    <w:name w:val="Titre de paragraphe"/>
    <w:basedOn w:val="Normal"/>
    <w:qFormat w:val="1"/>
    <w:rsid w:val="007D4988"/>
    <w:pPr>
      <w:spacing w:before="360"/>
    </w:pPr>
    <w:rPr>
      <w:b w:val="1"/>
      <w:bCs w:val="1"/>
      <w:caps w:val="1"/>
      <w:color w:val="006aff" w:themeColor="accent3"/>
      <w:spacing w:val="20"/>
      <w:sz w:val="18"/>
      <w:szCs w:val="21"/>
    </w:rPr>
  </w:style>
  <w:style w:type="paragraph" w:styleId="En-tte">
    <w:name w:val="header"/>
    <w:basedOn w:val="Normal"/>
    <w:link w:val="En-tteCar"/>
    <w:uiPriority w:val="99"/>
    <w:unhideWhenUsed w:val="1"/>
    <w:rsid w:val="002D1420"/>
    <w:pPr>
      <w:tabs>
        <w:tab w:val="center" w:pos="4536"/>
        <w:tab w:val="right" w:pos="9072"/>
      </w:tabs>
      <w:spacing w:line="240" w:lineRule="auto"/>
    </w:pPr>
  </w:style>
  <w:style w:type="paragraph" w:styleId="Pieddepage">
    <w:name w:val="footer"/>
    <w:basedOn w:val="Normal"/>
    <w:link w:val="PieddepageCar"/>
    <w:uiPriority w:val="99"/>
    <w:unhideWhenUsed w:val="1"/>
    <w:rsid w:val="008A5F71"/>
    <w:pPr>
      <w:tabs>
        <w:tab w:val="center" w:pos="4536"/>
        <w:tab w:val="right" w:pos="9072"/>
      </w:tabs>
      <w:adjustRightInd w:val="0"/>
      <w:snapToGrid w:val="0"/>
      <w:spacing w:line="240" w:lineRule="auto"/>
    </w:pPr>
    <w:rPr>
      <w:b w:val="1"/>
      <w:i w:val="1"/>
      <w:color w:val="808080" w:themeColor="background1" w:themeShade="000080"/>
      <w:sz w:val="13"/>
    </w:rPr>
  </w:style>
  <w:style w:type="character" w:styleId="PieddepageCar" w:customStyle="1">
    <w:name w:val="Pied de page Car"/>
    <w:basedOn w:val="Policepardfaut"/>
    <w:link w:val="Pieddepage"/>
    <w:uiPriority w:val="99"/>
    <w:rsid w:val="008A5F71"/>
    <w:rPr>
      <w:rFonts w:eastAsiaTheme="minorHAnsi"/>
      <w:b w:val="1"/>
      <w:i w:val="1"/>
      <w:color w:val="808080" w:themeColor="background1" w:themeShade="000080"/>
      <w:sz w:val="13"/>
      <w:lang w:eastAsia="en-US"/>
    </w:rPr>
  </w:style>
  <w:style w:type="character" w:styleId="Numrodepage">
    <w:name w:val="page number"/>
    <w:basedOn w:val="Policepardfaut"/>
    <w:uiPriority w:val="99"/>
    <w:semiHidden w:val="1"/>
    <w:unhideWhenUsed w:val="1"/>
    <w:rsid w:val="00FB1E20"/>
    <w:rPr>
      <w:rFonts w:ascii="Arial" w:hAnsi="Arial" w:cstheme="minorBidi"/>
      <w:bCs w:val="0"/>
      <w:iCs w:val="0"/>
      <w:caps w:val="0"/>
      <w:smallCaps w:val="0"/>
      <w:strike w:val="0"/>
      <w:dstrike w:val="0"/>
      <w:vanish w:val="0"/>
      <w:color w:val="000000" w:themeColor="text1"/>
      <w:spacing w:val="0"/>
      <w:position w:val="0"/>
      <w:sz w:val="21"/>
      <w:szCs w:val="21"/>
      <w:u w:val="none"/>
      <w:vertAlign w:val="baseline"/>
    </w:rPr>
  </w:style>
  <w:style w:type="paragraph" w:styleId="TM1">
    <w:name w:val="toc 1"/>
    <w:basedOn w:val="Normal"/>
    <w:next w:val="Normal"/>
    <w:autoRedefine w:val="1"/>
    <w:uiPriority w:val="39"/>
    <w:unhideWhenUsed w:val="1"/>
    <w:rsid w:val="006F5336"/>
    <w:pPr>
      <w:tabs>
        <w:tab w:val="left" w:pos="420"/>
        <w:tab w:val="right" w:leader="dot" w:pos="9770"/>
      </w:tabs>
      <w:spacing w:before="120"/>
      <w:jc w:val="left"/>
    </w:pPr>
    <w:rPr>
      <w:rFonts w:cstheme="minorHAnsi"/>
      <w:b w:val="1"/>
      <w:bCs w:val="1"/>
      <w:caps w:val="1"/>
    </w:rPr>
  </w:style>
  <w:style w:type="paragraph" w:styleId="TM2">
    <w:name w:val="toc 2"/>
    <w:basedOn w:val="Normal"/>
    <w:next w:val="Normal"/>
    <w:autoRedefine w:val="1"/>
    <w:uiPriority w:val="39"/>
    <w:unhideWhenUsed w:val="1"/>
    <w:rsid w:val="008F00F6"/>
    <w:pPr>
      <w:ind w:left="210"/>
      <w:jc w:val="left"/>
    </w:pPr>
    <w:rPr>
      <w:rFonts w:cstheme="minorHAnsi"/>
      <w:smallCaps w:val="1"/>
    </w:rPr>
  </w:style>
  <w:style w:type="character" w:styleId="Titre1Car" w:customStyle="1">
    <w:name w:val="Titre 1 Car"/>
    <w:basedOn w:val="Policepardfaut"/>
    <w:link w:val="Titre1"/>
    <w:uiPriority w:val="9"/>
    <w:rsid w:val="00907F50"/>
    <w:rPr>
      <w:rFonts w:asciiTheme="majorHAnsi" w:cstheme="majorBidi" w:eastAsiaTheme="majorEastAsia" w:hAnsiTheme="majorHAnsi"/>
      <w:b w:val="1"/>
      <w:bCs w:val="1"/>
      <w:noProof w:val="1"/>
      <w:color w:val="d6c377" w:themeColor="background2"/>
      <w:spacing w:val="-10"/>
      <w:kern w:val="28"/>
      <w:sz w:val="52"/>
      <w:szCs w:val="52"/>
      <w:lang w:eastAsia="en-US"/>
    </w:rPr>
  </w:style>
  <w:style w:type="paragraph" w:styleId="Paragraphedeliste">
    <w:name w:val="List Paragraph"/>
    <w:basedOn w:val="Normal"/>
    <w:uiPriority w:val="34"/>
    <w:qFormat w:val="1"/>
    <w:rsid w:val="00F54FFA"/>
    <w:pPr>
      <w:ind w:left="720"/>
      <w:contextualSpacing w:val="1"/>
    </w:pPr>
  </w:style>
  <w:style w:type="paragraph" w:styleId="TM3">
    <w:name w:val="toc 3"/>
    <w:basedOn w:val="Normal"/>
    <w:next w:val="Normal"/>
    <w:autoRedefine w:val="1"/>
    <w:uiPriority w:val="39"/>
    <w:unhideWhenUsed w:val="1"/>
    <w:rsid w:val="00C064F6"/>
    <w:pPr>
      <w:ind w:left="420"/>
      <w:jc w:val="left"/>
    </w:pPr>
    <w:rPr>
      <w:rFonts w:cstheme="minorHAnsi"/>
      <w:i w:val="1"/>
      <w:iCs w:val="1"/>
    </w:rPr>
  </w:style>
  <w:style w:type="character" w:styleId="En-tteCar" w:customStyle="1">
    <w:name w:val="En-tête Car"/>
    <w:basedOn w:val="Policepardfaut"/>
    <w:link w:val="En-tte"/>
    <w:uiPriority w:val="99"/>
    <w:rsid w:val="002D1420"/>
    <w:rPr>
      <w:rFonts w:eastAsiaTheme="minorHAnsi"/>
      <w:color w:val="000000" w:themeColor="text1"/>
      <w:sz w:val="21"/>
      <w:lang w:eastAsia="en-US"/>
    </w:rPr>
  </w:style>
  <w:style w:type="character" w:styleId="Titre2Car" w:customStyle="1">
    <w:name w:val="Titre 2 Car"/>
    <w:basedOn w:val="Policepardfaut"/>
    <w:link w:val="Titre2"/>
    <w:uiPriority w:val="9"/>
    <w:rsid w:val="00155B99"/>
    <w:rPr>
      <w:rFonts w:ascii="Arial Black" w:hAnsi="Arial Black" w:eastAsiaTheme="minorHAnsi"/>
      <w:b w:val="1"/>
      <w:bCs w:val="1"/>
      <w:caps w:val="1"/>
      <w:color w:val="000000" w:themeColor="text1"/>
      <w:spacing w:val="20"/>
      <w:sz w:val="28"/>
      <w:szCs w:val="28"/>
      <w:lang w:eastAsia="en-US"/>
    </w:rPr>
  </w:style>
  <w:style w:type="character" w:styleId="Titre3Car" w:customStyle="1">
    <w:name w:val="Titre 3 Car"/>
    <w:basedOn w:val="Policepardfaut"/>
    <w:link w:val="Titre3"/>
    <w:uiPriority w:val="9"/>
    <w:rsid w:val="00324957"/>
    <w:rPr>
      <w:rFonts w:eastAsiaTheme="minorHAnsi"/>
      <w:b w:val="1"/>
      <w:bCs w:val="1"/>
      <w:i w:val="1"/>
      <w:iCs w:val="1"/>
      <w:color w:val="000000" w:themeColor="text1"/>
      <w:sz w:val="28"/>
      <w:szCs w:val="28"/>
      <w:lang w:eastAsia="en-US" w:val="en-GB"/>
    </w:rPr>
  </w:style>
  <w:style w:type="character" w:styleId="Titre4Car" w:customStyle="1">
    <w:name w:val="Titre 4 Car"/>
    <w:aliases w:val="intertitre Car"/>
    <w:basedOn w:val="Policepardfaut"/>
    <w:link w:val="Titre4"/>
    <w:uiPriority w:val="9"/>
    <w:rsid w:val="007D4988"/>
    <w:rPr>
      <w:rFonts w:eastAsiaTheme="minorHAnsi"/>
      <w:b w:val="1"/>
      <w:caps w:val="1"/>
      <w:color w:val="006aff" w:themeColor="accent3"/>
      <w:spacing w:val="20"/>
      <w:sz w:val="18"/>
      <w:szCs w:val="20"/>
      <w:lang w:eastAsia="en-US"/>
    </w:rPr>
  </w:style>
  <w:style w:type="numbering" w:styleId="111111">
    <w:name w:val="Outline List 2"/>
    <w:basedOn w:val="Aucuneliste"/>
    <w:uiPriority w:val="99"/>
    <w:semiHidden w:val="1"/>
    <w:unhideWhenUsed w:val="1"/>
    <w:rsid w:val="00B75F91"/>
    <w:pPr>
      <w:numPr>
        <w:numId w:val="2"/>
      </w:numPr>
    </w:pPr>
  </w:style>
  <w:style w:type="character" w:styleId="Accentuation">
    <w:name w:val="Emphasis"/>
    <w:aliases w:val="Légende photos,graphiques"/>
    <w:uiPriority w:val="20"/>
    <w:rsid w:val="00E8667B"/>
    <w:rPr>
      <w:rFonts w:ascii="Arial" w:hAnsi="Arial"/>
      <w:i w:val="1"/>
      <w:iCs w:val="1"/>
      <w:color w:val="a6a6a6" w:themeColor="background1" w:themeShade="0000A6"/>
      <w:sz w:val="20"/>
      <w:szCs w:val="20"/>
    </w:rPr>
  </w:style>
  <w:style w:type="character" w:styleId="Rfrencelgre">
    <w:name w:val="Subtle Reference"/>
    <w:basedOn w:val="Policepardfaut"/>
    <w:uiPriority w:val="31"/>
    <w:rsid w:val="00F54FFA"/>
    <w:rPr>
      <w:rFonts w:ascii="Arial" w:hAnsi="Arial" w:cstheme="minorBidi"/>
      <w:bCs w:val="0"/>
      <w:iCs w:val="0"/>
      <w:caps w:val="0"/>
      <w:smallCaps w:val="1"/>
      <w:strike w:val="0"/>
      <w:dstrike w:val="0"/>
      <w:vanish w:val="0"/>
      <w:color w:val="5a5a5a" w:themeColor="text1" w:themeTint="0000A5"/>
      <w:spacing w:val="0"/>
      <w:position w:val="0"/>
      <w:sz w:val="21"/>
      <w:szCs w:val="21"/>
      <w:u w:val="none"/>
      <w:vertAlign w:val="baseline"/>
    </w:rPr>
  </w:style>
  <w:style w:type="paragraph" w:styleId="Cartouche" w:customStyle="1">
    <w:name w:val="Cartouche"/>
    <w:basedOn w:val="Normal"/>
    <w:qFormat w:val="1"/>
    <w:rsid w:val="0089015B"/>
    <w:pPr>
      <w:pBdr>
        <w:top w:color="006aff" w:space="15" w:sz="4" w:themeColor="accent3" w:val="single"/>
        <w:left w:color="006aff" w:space="10" w:sz="4" w:themeColor="accent3" w:val="single"/>
        <w:bottom w:color="006aff" w:space="15" w:sz="4" w:themeColor="accent3" w:val="single"/>
        <w:right w:color="006aff" w:space="10" w:sz="4" w:themeColor="accent3" w:val="single"/>
      </w:pBdr>
      <w:shd w:color="auto" w:fill="006aff" w:themeFill="accent3" w:val="clear"/>
      <w:spacing w:after="200" w:before="200"/>
      <w:jc w:val="center"/>
    </w:pPr>
  </w:style>
  <w:style w:type="paragraph" w:styleId="Corpsdetexte-Niv2" w:customStyle="1">
    <w:name w:val="Corps de texte - Niv 2"/>
    <w:basedOn w:val="Paragraphedeliste"/>
    <w:qFormat w:val="1"/>
    <w:rsid w:val="00471C53"/>
    <w:pPr>
      <w:ind w:left="357"/>
      <w:contextualSpacing w:val="0"/>
    </w:pPr>
  </w:style>
  <w:style w:type="paragraph" w:styleId="Corpsdetexte-Niv3" w:customStyle="1">
    <w:name w:val="Corps de texte - Niv 3"/>
    <w:basedOn w:val="Paragraphedeliste"/>
    <w:qFormat w:val="1"/>
    <w:rsid w:val="00471C53"/>
    <w:pPr>
      <w:ind w:left="709"/>
      <w:contextualSpacing w:val="0"/>
    </w:pPr>
  </w:style>
  <w:style w:type="paragraph" w:styleId="Citationintense">
    <w:name w:val="Intense Quote"/>
    <w:aliases w:val="Citation centrée"/>
    <w:basedOn w:val="Normal"/>
    <w:next w:val="Normal"/>
    <w:link w:val="CitationintenseCar"/>
    <w:uiPriority w:val="30"/>
    <w:qFormat w:val="1"/>
    <w:rsid w:val="005C7128"/>
    <w:pPr>
      <w:pBdr>
        <w:top w:color="006aff" w:space="10" w:sz="4" w:themeColor="accent3" w:val="single"/>
        <w:bottom w:color="006aff" w:space="10" w:sz="4" w:themeColor="accent3" w:val="single"/>
      </w:pBdr>
      <w:spacing w:after="360" w:before="360"/>
      <w:ind w:left="864" w:right="864"/>
      <w:jc w:val="center"/>
    </w:pPr>
    <w:rPr>
      <w:i w:val="1"/>
      <w:iCs w:val="1"/>
      <w:color w:val="006aff" w:themeColor="accent3"/>
    </w:rPr>
  </w:style>
  <w:style w:type="character" w:styleId="CitationintenseCar" w:customStyle="1">
    <w:name w:val="Citation intense Car"/>
    <w:aliases w:val="Citation centrée Car"/>
    <w:basedOn w:val="Policepardfaut"/>
    <w:link w:val="Citationintense"/>
    <w:uiPriority w:val="30"/>
    <w:rsid w:val="005C7128"/>
    <w:rPr>
      <w:rFonts w:eastAsiaTheme="minorHAnsi"/>
      <w:i w:val="1"/>
      <w:iCs w:val="1"/>
      <w:color w:val="006aff" w:themeColor="accent3"/>
      <w:sz w:val="21"/>
      <w:lang w:eastAsia="en-US"/>
    </w:rPr>
  </w:style>
  <w:style w:type="paragraph" w:styleId="Titredudocument" w:customStyle="1">
    <w:name w:val="Titre du document"/>
    <w:basedOn w:val="Normal"/>
    <w:qFormat w:val="1"/>
    <w:rsid w:val="00907F50"/>
    <w:pPr>
      <w:spacing w:line="216" w:lineRule="auto"/>
    </w:pPr>
    <w:rPr>
      <w:rFonts w:ascii="Paris2024" w:hAnsi="Paris2024" w:cstheme="majorBidi" w:eastAsiaTheme="majorEastAsia"/>
      <w:b w:val="1"/>
      <w:caps w:val="1"/>
      <w:sz w:val="96"/>
      <w:szCs w:val="108"/>
    </w:rPr>
  </w:style>
  <w:style w:type="paragraph" w:styleId="Sous-titredudocument" w:customStyle="1">
    <w:name w:val="Sous-titre du document"/>
    <w:basedOn w:val="Titredudocument"/>
    <w:qFormat w:val="1"/>
    <w:rsid w:val="00907F50"/>
    <w:pPr>
      <w:spacing w:before="240"/>
    </w:pPr>
    <w:rPr>
      <w:bCs w:val="1"/>
      <w:caps w:val="0"/>
      <w:color w:val="d6c377" w:themeColor="background2"/>
      <w:sz w:val="36"/>
      <w:szCs w:val="36"/>
    </w:rPr>
  </w:style>
  <w:style w:type="paragraph" w:styleId="Listepuces">
    <w:name w:val="List Bullet"/>
    <w:next w:val="Normal"/>
    <w:link w:val="ListepucesCar"/>
    <w:uiPriority w:val="99"/>
    <w:unhideWhenUsed w:val="1"/>
    <w:rsid w:val="00984823"/>
    <w:pPr>
      <w:numPr>
        <w:numId w:val="1"/>
      </w:numPr>
      <w:ind w:left="357" w:hanging="357"/>
      <w:contextualSpacing w:val="1"/>
    </w:pPr>
    <w:rPr>
      <w:rFonts w:eastAsiaTheme="minorHAnsi"/>
      <w:color w:val="000000" w:themeColor="text1"/>
      <w:sz w:val="21"/>
      <w:lang w:eastAsia="en-US"/>
    </w:rPr>
  </w:style>
  <w:style w:type="paragraph" w:styleId="Typededocument" w:customStyle="1">
    <w:name w:val="Type de document"/>
    <w:basedOn w:val="Normal"/>
    <w:qFormat w:val="1"/>
    <w:rsid w:val="00447F77"/>
    <w:pPr>
      <w:spacing w:line="360" w:lineRule="auto"/>
      <w:jc w:val="right"/>
    </w:pPr>
    <w:rPr>
      <w:b w:val="1"/>
      <w:bCs w:val="1"/>
      <w:i w:val="1"/>
      <w:iCs w:val="1"/>
      <w:caps w:val="1"/>
      <w:spacing w:val="26"/>
      <w:sz w:val="16"/>
      <w:szCs w:val="18"/>
    </w:rPr>
  </w:style>
  <w:style w:type="paragraph" w:styleId="Listenumrote" w:customStyle="1">
    <w:name w:val="Liste numérotée"/>
    <w:basedOn w:val="Paragraphedeliste"/>
    <w:qFormat w:val="1"/>
    <w:rsid w:val="00471C53"/>
    <w:pPr>
      <w:numPr>
        <w:numId w:val="5"/>
      </w:numPr>
    </w:pPr>
  </w:style>
  <w:style w:type="paragraph" w:styleId="En-ttedetabledesmatires">
    <w:name w:val="TOC Heading"/>
    <w:basedOn w:val="Titre1"/>
    <w:next w:val="Normal"/>
    <w:uiPriority w:val="39"/>
    <w:unhideWhenUsed w:val="1"/>
    <w:qFormat w:val="1"/>
    <w:rsid w:val="008F00F6"/>
    <w:pPr>
      <w:keepNext w:val="1"/>
      <w:keepLines w:val="1"/>
      <w:spacing w:before="480" w:line="276" w:lineRule="auto"/>
      <w:outlineLvl w:val="9"/>
    </w:pPr>
    <w:rPr>
      <w:caps w:val="1"/>
      <w:color w:val="008646" w:themeColor="accent1" w:themeShade="0000BF"/>
      <w:spacing w:val="0"/>
      <w:sz w:val="28"/>
      <w:szCs w:val="28"/>
      <w:lang w:eastAsia="zh-CN"/>
    </w:rPr>
  </w:style>
  <w:style w:type="character" w:styleId="Lienhypertexte">
    <w:name w:val="Hyperlink"/>
    <w:basedOn w:val="Policepardfaut"/>
    <w:uiPriority w:val="99"/>
    <w:unhideWhenUsed w:val="1"/>
    <w:rsid w:val="006577A1"/>
    <w:rPr>
      <w:color w:val="f9b900" w:themeColor="hyperlink"/>
      <w:u w:val="single"/>
    </w:rPr>
  </w:style>
  <w:style w:type="paragraph" w:styleId="TM4">
    <w:name w:val="toc 4"/>
    <w:basedOn w:val="Normal"/>
    <w:next w:val="Normal"/>
    <w:autoRedefine w:val="1"/>
    <w:uiPriority w:val="39"/>
    <w:semiHidden w:val="1"/>
    <w:unhideWhenUsed w:val="1"/>
    <w:rsid w:val="008F00F6"/>
    <w:pPr>
      <w:ind w:left="630"/>
      <w:jc w:val="left"/>
    </w:pPr>
    <w:rPr>
      <w:rFonts w:cstheme="minorHAnsi"/>
      <w:sz w:val="18"/>
      <w:szCs w:val="21"/>
    </w:rPr>
  </w:style>
  <w:style w:type="paragraph" w:styleId="TM5">
    <w:name w:val="toc 5"/>
    <w:basedOn w:val="Normal"/>
    <w:next w:val="Normal"/>
    <w:autoRedefine w:val="1"/>
    <w:uiPriority w:val="39"/>
    <w:semiHidden w:val="1"/>
    <w:unhideWhenUsed w:val="1"/>
    <w:rsid w:val="008F00F6"/>
    <w:pPr>
      <w:ind w:left="840"/>
      <w:jc w:val="left"/>
    </w:pPr>
    <w:rPr>
      <w:rFonts w:cstheme="minorHAnsi"/>
      <w:sz w:val="18"/>
      <w:szCs w:val="21"/>
    </w:rPr>
  </w:style>
  <w:style w:type="paragraph" w:styleId="TM6">
    <w:name w:val="toc 6"/>
    <w:basedOn w:val="Normal"/>
    <w:next w:val="Normal"/>
    <w:autoRedefine w:val="1"/>
    <w:uiPriority w:val="39"/>
    <w:semiHidden w:val="1"/>
    <w:unhideWhenUsed w:val="1"/>
    <w:rsid w:val="008F00F6"/>
    <w:pPr>
      <w:ind w:left="1050"/>
      <w:jc w:val="left"/>
    </w:pPr>
    <w:rPr>
      <w:rFonts w:cstheme="minorHAnsi"/>
      <w:sz w:val="18"/>
      <w:szCs w:val="21"/>
    </w:rPr>
  </w:style>
  <w:style w:type="paragraph" w:styleId="TM7">
    <w:name w:val="toc 7"/>
    <w:basedOn w:val="Normal"/>
    <w:next w:val="Normal"/>
    <w:autoRedefine w:val="1"/>
    <w:uiPriority w:val="39"/>
    <w:semiHidden w:val="1"/>
    <w:unhideWhenUsed w:val="1"/>
    <w:rsid w:val="008F00F6"/>
    <w:pPr>
      <w:ind w:left="1260"/>
      <w:jc w:val="left"/>
    </w:pPr>
    <w:rPr>
      <w:rFonts w:cstheme="minorHAnsi"/>
      <w:sz w:val="18"/>
      <w:szCs w:val="21"/>
    </w:rPr>
  </w:style>
  <w:style w:type="paragraph" w:styleId="TM8">
    <w:name w:val="toc 8"/>
    <w:basedOn w:val="Normal"/>
    <w:next w:val="Normal"/>
    <w:autoRedefine w:val="1"/>
    <w:uiPriority w:val="39"/>
    <w:semiHidden w:val="1"/>
    <w:unhideWhenUsed w:val="1"/>
    <w:rsid w:val="008F00F6"/>
    <w:pPr>
      <w:ind w:left="1470"/>
      <w:jc w:val="left"/>
    </w:pPr>
    <w:rPr>
      <w:rFonts w:cstheme="minorHAnsi"/>
      <w:sz w:val="18"/>
      <w:szCs w:val="21"/>
    </w:rPr>
  </w:style>
  <w:style w:type="paragraph" w:styleId="TM9">
    <w:name w:val="toc 9"/>
    <w:basedOn w:val="Normal"/>
    <w:next w:val="Normal"/>
    <w:autoRedefine w:val="1"/>
    <w:uiPriority w:val="39"/>
    <w:semiHidden w:val="1"/>
    <w:unhideWhenUsed w:val="1"/>
    <w:rsid w:val="008F00F6"/>
    <w:pPr>
      <w:ind w:left="1680"/>
      <w:jc w:val="left"/>
    </w:pPr>
    <w:rPr>
      <w:rFonts w:cstheme="minorHAnsi"/>
      <w:sz w:val="18"/>
      <w:szCs w:val="21"/>
    </w:rPr>
  </w:style>
  <w:style w:type="character" w:styleId="ListepucesCar" w:customStyle="1">
    <w:name w:val="Liste à puces Car"/>
    <w:basedOn w:val="Policepardfaut"/>
    <w:link w:val="Listepuces"/>
    <w:uiPriority w:val="99"/>
    <w:rsid w:val="00984823"/>
    <w:rPr>
      <w:rFonts w:eastAsiaTheme="minorHAnsi"/>
      <w:color w:val="000000" w:themeColor="text1"/>
      <w:sz w:val="21"/>
      <w:lang w:eastAsia="en-US"/>
    </w:rPr>
  </w:style>
  <w:style w:type="paragraph" w:styleId="Lgende">
    <w:name w:val="caption"/>
    <w:next w:val="Normal"/>
    <w:uiPriority w:val="35"/>
    <w:unhideWhenUsed w:val="1"/>
    <w:qFormat w:val="1"/>
    <w:rsid w:val="00DD25AC"/>
    <w:pPr>
      <w:spacing w:after="120" w:before="120"/>
    </w:pPr>
    <w:rPr>
      <w:rFonts w:eastAsiaTheme="minorHAnsi"/>
      <w:i w:val="1"/>
      <w:iCs w:val="1"/>
      <w:color w:val="808080" w:themeColor="background1" w:themeShade="000080"/>
      <w:sz w:val="18"/>
      <w:szCs w:val="18"/>
      <w:lang w:eastAsia="en-US"/>
    </w:rPr>
  </w:style>
  <w:style w:type="paragraph" w:styleId="Tabledesillustrations">
    <w:name w:val="table of figures"/>
    <w:basedOn w:val="Normal"/>
    <w:next w:val="Normal"/>
    <w:uiPriority w:val="99"/>
    <w:unhideWhenUsed w:val="1"/>
    <w:rsid w:val="00DF4EA4"/>
  </w:style>
  <w:style w:type="paragraph" w:styleId="Confidentialit" w:customStyle="1">
    <w:name w:val="Confidentialité"/>
    <w:basedOn w:val="Normal"/>
    <w:autoRedefine w:val="1"/>
    <w:qFormat w:val="1"/>
    <w:rsid w:val="0038475D"/>
    <w:pPr>
      <w:spacing w:line="240" w:lineRule="auto"/>
      <w:jc w:val="right"/>
    </w:pPr>
    <w:rPr>
      <w:rFonts w:ascii="Arial Black" w:hAnsi="Arial Black"/>
      <w:b w:val="1"/>
      <w:bCs w:val="1"/>
      <w:caps w:val="1"/>
      <w:color w:val="d6c377" w:themeColor="background2"/>
      <w:sz w:val="15"/>
      <w:szCs w:val="18"/>
    </w:rPr>
  </w:style>
  <w:style w:type="table" w:styleId="Grilledutableau">
    <w:name w:val="Table Grid"/>
    <w:basedOn w:val="TableauNormal"/>
    <w:uiPriority w:val="39"/>
    <w:rsid w:val="0094406F"/>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ansinterligne">
    <w:name w:val="No Spacing"/>
    <w:uiPriority w:val="1"/>
    <w:qFormat w:val="1"/>
    <w:rsid w:val="005745E2"/>
    <w:pPr>
      <w:jc w:val="both"/>
    </w:pPr>
    <w:rPr>
      <w:rFonts w:eastAsiaTheme="minorHAnsi"/>
      <w:color w:val="000000" w:themeColor="text1"/>
      <w:sz w:val="21"/>
      <w:lang w:eastAsia="en-US"/>
    </w:rPr>
  </w:style>
  <w:style w:type="character" w:styleId="Titre5Car" w:customStyle="1">
    <w:name w:val="Titre 5 Car"/>
    <w:basedOn w:val="Policepardfaut"/>
    <w:link w:val="Titre5"/>
    <w:uiPriority w:val="9"/>
    <w:rsid w:val="00C6611B"/>
    <w:rPr>
      <w:rFonts w:asciiTheme="majorHAnsi" w:cstheme="majorBidi" w:eastAsiaTheme="majorEastAsia" w:hAnsiTheme="majorHAnsi"/>
      <w:color w:val="008646" w:themeColor="accent1" w:themeShade="0000BF"/>
      <w:sz w:val="21"/>
      <w:lang w:eastAsia="en-US"/>
    </w:rPr>
  </w:style>
  <w:style w:type="character" w:styleId="Titre6Car" w:customStyle="1">
    <w:name w:val="Titre 6 Car"/>
    <w:basedOn w:val="Policepardfaut"/>
    <w:link w:val="Titre6"/>
    <w:uiPriority w:val="9"/>
    <w:rsid w:val="00C6611B"/>
    <w:rPr>
      <w:rFonts w:asciiTheme="majorHAnsi" w:cstheme="majorBidi" w:eastAsiaTheme="majorEastAsia" w:hAnsiTheme="majorHAnsi"/>
      <w:color w:val="00592f" w:themeColor="accent1" w:themeShade="00007F"/>
      <w:sz w:val="21"/>
      <w:lang w:eastAsia="en-US"/>
    </w:rPr>
  </w:style>
  <w:style w:type="character" w:styleId="Titre7Car" w:customStyle="1">
    <w:name w:val="Titre 7 Car"/>
    <w:basedOn w:val="Policepardfaut"/>
    <w:link w:val="Titre7"/>
    <w:uiPriority w:val="9"/>
    <w:rsid w:val="00C6611B"/>
    <w:rPr>
      <w:rFonts w:asciiTheme="majorHAnsi" w:cstheme="majorBidi" w:eastAsiaTheme="majorEastAsia" w:hAnsiTheme="majorHAnsi"/>
      <w:i w:val="1"/>
      <w:iCs w:val="1"/>
      <w:color w:val="00592f" w:themeColor="accent1" w:themeShade="00007F"/>
      <w:sz w:val="21"/>
      <w:lang w:eastAsia="en-US"/>
    </w:rPr>
  </w:style>
  <w:style w:type="character" w:styleId="Titre8Car" w:customStyle="1">
    <w:name w:val="Titre 8 Car"/>
    <w:basedOn w:val="Policepardfaut"/>
    <w:link w:val="Titre8"/>
    <w:uiPriority w:val="9"/>
    <w:rsid w:val="00C6611B"/>
    <w:rPr>
      <w:rFonts w:asciiTheme="majorHAnsi" w:cstheme="majorBidi" w:eastAsiaTheme="majorEastAsia" w:hAnsiTheme="majorHAnsi"/>
      <w:color w:val="272727" w:themeColor="text1" w:themeTint="0000D8"/>
      <w:sz w:val="21"/>
      <w:szCs w:val="21"/>
      <w:lang w:eastAsia="en-US"/>
    </w:rPr>
  </w:style>
  <w:style w:type="character" w:styleId="Titre9Car" w:customStyle="1">
    <w:name w:val="Titre 9 Car"/>
    <w:basedOn w:val="Policepardfaut"/>
    <w:link w:val="Titre9"/>
    <w:uiPriority w:val="9"/>
    <w:semiHidden w:val="1"/>
    <w:rsid w:val="00C6611B"/>
    <w:rPr>
      <w:rFonts w:asciiTheme="majorHAnsi" w:cstheme="majorBidi" w:eastAsiaTheme="majorEastAsia" w:hAnsiTheme="majorHAnsi"/>
      <w:i w:val="1"/>
      <w:iCs w:val="1"/>
      <w:color w:val="272727" w:themeColor="text1" w:themeTint="0000D8"/>
      <w:sz w:val="21"/>
      <w:szCs w:val="21"/>
      <w:lang w:eastAsia="en-US"/>
    </w:rPr>
  </w:style>
  <w:style w:type="paragraph" w:styleId="TableetIndex" w:customStyle="1">
    <w:name w:val="Table et Index"/>
    <w:basedOn w:val="Normal"/>
    <w:qFormat w:val="1"/>
    <w:rsid w:val="0090760A"/>
    <w:pPr>
      <w:spacing w:after="360" w:line="240" w:lineRule="auto"/>
      <w:jc w:val="left"/>
    </w:pPr>
    <w:rPr>
      <w:rFonts w:ascii="Arial Black" w:hAnsi="Arial Black"/>
      <w:b w:val="1"/>
      <w:bCs w:val="1"/>
      <w:caps w:val="1"/>
      <w:color w:val="006aff" w:themeColor="accent3"/>
      <w:sz w:val="28"/>
      <w:szCs w:val="28"/>
    </w:rPr>
  </w:style>
  <w:style w:type="paragraph" w:styleId="NormalWeb">
    <w:name w:val="Normal (Web)"/>
    <w:basedOn w:val="Normal"/>
    <w:uiPriority w:val="99"/>
    <w:semiHidden w:val="1"/>
    <w:unhideWhenUsed w:val="1"/>
    <w:rsid w:val="00496FDF"/>
    <w:pPr>
      <w:spacing w:after="100" w:afterAutospacing="1" w:before="100" w:beforeAutospacing="1" w:line="240" w:lineRule="auto"/>
      <w:jc w:val="left"/>
    </w:pPr>
    <w:rPr>
      <w:rFonts w:ascii="Times New Roman" w:cs="Times New Roman" w:eastAsia="Times New Roman" w:hAnsi="Times New Roman"/>
      <w:color w:val="auto"/>
      <w:sz w:val="24"/>
      <w:lang w:eastAsia="fr-FR"/>
    </w:rPr>
  </w:style>
  <w:style w:type="character" w:styleId="Marquedecommentaire">
    <w:name w:val="annotation reference"/>
    <w:basedOn w:val="Policepardfaut"/>
    <w:uiPriority w:val="99"/>
    <w:unhideWhenUsed w:val="1"/>
    <w:rsid w:val="002D367E"/>
    <w:rPr>
      <w:sz w:val="16"/>
      <w:szCs w:val="16"/>
    </w:rPr>
  </w:style>
  <w:style w:type="paragraph" w:styleId="Commentaire">
    <w:name w:val="annotation text"/>
    <w:basedOn w:val="Normal"/>
    <w:link w:val="CommentaireCar"/>
    <w:uiPriority w:val="99"/>
    <w:unhideWhenUsed w:val="1"/>
    <w:qFormat w:val="1"/>
    <w:rsid w:val="002D367E"/>
    <w:pPr>
      <w:spacing w:line="240" w:lineRule="auto"/>
    </w:pPr>
    <w:rPr>
      <w:szCs w:val="20"/>
    </w:rPr>
  </w:style>
  <w:style w:type="character" w:styleId="CommentaireCar" w:customStyle="1">
    <w:name w:val="Commentaire Car"/>
    <w:basedOn w:val="Policepardfaut"/>
    <w:link w:val="Commentaire"/>
    <w:uiPriority w:val="99"/>
    <w:qFormat w:val="1"/>
    <w:rsid w:val="002D367E"/>
    <w:rPr>
      <w:rFonts w:eastAsiaTheme="minorHAnsi"/>
      <w:color w:val="000000" w:themeColor="text1"/>
      <w:sz w:val="20"/>
      <w:szCs w:val="20"/>
      <w:lang w:eastAsia="en-US"/>
    </w:rPr>
  </w:style>
  <w:style w:type="paragraph" w:styleId="Objetducommentaire">
    <w:name w:val="annotation subject"/>
    <w:basedOn w:val="Commentaire"/>
    <w:next w:val="Commentaire"/>
    <w:link w:val="ObjetducommentaireCar"/>
    <w:uiPriority w:val="99"/>
    <w:semiHidden w:val="1"/>
    <w:unhideWhenUsed w:val="1"/>
    <w:rsid w:val="002D367E"/>
    <w:rPr>
      <w:b w:val="1"/>
      <w:bCs w:val="1"/>
    </w:rPr>
  </w:style>
  <w:style w:type="character" w:styleId="ObjetducommentaireCar" w:customStyle="1">
    <w:name w:val="Objet du commentaire Car"/>
    <w:basedOn w:val="CommentaireCar"/>
    <w:link w:val="Objetducommentaire"/>
    <w:uiPriority w:val="99"/>
    <w:semiHidden w:val="1"/>
    <w:rsid w:val="002D367E"/>
    <w:rPr>
      <w:rFonts w:eastAsiaTheme="minorHAnsi"/>
      <w:b w:val="1"/>
      <w:bCs w:val="1"/>
      <w:color w:val="000000" w:themeColor="text1"/>
      <w:sz w:val="20"/>
      <w:szCs w:val="20"/>
      <w:lang w:eastAsia="en-US"/>
    </w:rPr>
  </w:style>
  <w:style w:type="character" w:styleId="Mentionnonrsolue1" w:customStyle="1">
    <w:name w:val="Mention non résolue1"/>
    <w:basedOn w:val="Policepardfaut"/>
    <w:uiPriority w:val="99"/>
    <w:rsid w:val="002D367E"/>
    <w:rPr>
      <w:color w:val="605e5c"/>
      <w:shd w:color="auto" w:fill="e1dfdd" w:val="clear"/>
    </w:rPr>
  </w:style>
  <w:style w:type="character" w:styleId="Mention1" w:customStyle="1">
    <w:name w:val="Mention1"/>
    <w:basedOn w:val="Policepardfaut"/>
    <w:uiPriority w:val="99"/>
    <w:unhideWhenUsed w:val="1"/>
    <w:rsid w:val="002D367E"/>
    <w:rPr>
      <w:color w:val="2b579a"/>
      <w:shd w:color="auto" w:fill="e1dfdd" w:val="clear"/>
    </w:rPr>
  </w:style>
  <w:style w:type="paragraph" w:styleId="Rvision">
    <w:name w:val="Revision"/>
    <w:hidden w:val="1"/>
    <w:uiPriority w:val="99"/>
    <w:semiHidden w:val="1"/>
    <w:rsid w:val="004E2A3D"/>
    <w:rPr>
      <w:rFonts w:eastAsiaTheme="minorHAnsi"/>
      <w:color w:val="000000" w:themeColor="text1"/>
      <w:sz w:val="21"/>
      <w:lang w:eastAsia="en-US"/>
    </w:rPr>
  </w:style>
  <w:style w:type="paragraph" w:styleId="Textedebulles">
    <w:name w:val="Balloon Text"/>
    <w:basedOn w:val="Normal"/>
    <w:link w:val="TextedebullesCar"/>
    <w:uiPriority w:val="99"/>
    <w:semiHidden w:val="1"/>
    <w:unhideWhenUsed w:val="1"/>
    <w:rsid w:val="000703F5"/>
    <w:pPr>
      <w:spacing w:line="240" w:lineRule="auto"/>
    </w:pPr>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0703F5"/>
    <w:rPr>
      <w:rFonts w:ascii="Segoe UI" w:cs="Segoe UI" w:hAnsi="Segoe UI" w:eastAsiaTheme="minorHAnsi"/>
      <w:color w:val="000000" w:themeColor="text1"/>
      <w:sz w:val="18"/>
      <w:szCs w:val="18"/>
      <w:lang w:eastAsia="en-US"/>
    </w:rPr>
  </w:style>
  <w:style w:type="character" w:styleId="Mentionnonrsolue">
    <w:name w:val="Unresolved Mention"/>
    <w:basedOn w:val="Policepardfaut"/>
    <w:uiPriority w:val="99"/>
    <w:rsid w:val="0055146D"/>
    <w:rPr>
      <w:color w:val="605e5c"/>
      <w:shd w:color="auto" w:fill="e1dfdd" w:val="clear"/>
    </w:rPr>
  </w:style>
  <w:style w:type="character" w:styleId="Mention">
    <w:name w:val="Mention"/>
    <w:basedOn w:val="Policepardfaut"/>
    <w:uiPriority w:val="99"/>
    <w:unhideWhenUsed w:val="1"/>
    <w:rsid w:val="0055146D"/>
    <w:rPr>
      <w:color w:val="2b579a"/>
      <w:shd w:color="auto" w:fill="e1dfdd" w:val="clear"/>
    </w:rPr>
  </w:style>
  <w:style w:type="character" w:styleId="cf01" w:customStyle="1">
    <w:name w:val="cf01"/>
    <w:basedOn w:val="Policepardfaut"/>
    <w:rsid w:val="00457038"/>
    <w:rPr>
      <w:rFonts w:ascii="Segoe UI" w:cs="Segoe UI" w:hAnsi="Segoe UI" w:hint="default"/>
      <w:sz w:val="18"/>
      <w:szCs w:val="18"/>
    </w:rPr>
  </w:style>
  <w:style w:type="table" w:styleId="TableauGrille5Fonc-Accentuation3">
    <w:name w:val="Grid Table 5 Dark Accent 3"/>
    <w:basedOn w:val="TableauNormal"/>
    <w:uiPriority w:val="50"/>
    <w:rsid w:val="000A0F60"/>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cce1ff" w:themeFill="accent3" w:themeFillTint="000033" w:val="clear"/>
    </w:tcPr>
    <w:tblStylePr w:type="firstRow">
      <w:rPr>
        <w:b w:val="1"/>
        <w:bCs w:val="1"/>
        <w:color w:val="ffffff" w:themeColor="background1"/>
      </w:rPr>
      <w:tblPr/>
      <w:tcPr>
        <w:tcBorders>
          <w:top w:color="ffffff" w:space="0" w:sz="4" w:themeColor="background1" w:val="single"/>
          <w:left w:color="ffffff" w:space="0" w:sz="4" w:themeColor="background1" w:val="single"/>
          <w:right w:color="ffffff" w:space="0" w:sz="4" w:themeColor="background1" w:val="single"/>
          <w:insideH w:space="0" w:sz="0" w:val="nil"/>
          <w:insideV w:space="0" w:sz="0" w:val="nil"/>
        </w:tcBorders>
        <w:shd w:color="auto" w:fill="006aff" w:themeFill="accent3" w:val="clear"/>
      </w:tcPr>
    </w:tblStylePr>
    <w:tblStylePr w:type="lastRow">
      <w:rPr>
        <w:b w:val="1"/>
        <w:bCs w:val="1"/>
        <w:color w:val="ffffff" w:themeColor="background1"/>
      </w:rPr>
      <w:tblPr/>
      <w:tcPr>
        <w:tcBorders>
          <w:left w:color="ffffff" w:space="0" w:sz="4" w:themeColor="background1" w:val="single"/>
          <w:bottom w:color="ffffff" w:space="0" w:sz="4" w:themeColor="background1" w:val="single"/>
          <w:right w:color="ffffff" w:space="0" w:sz="4" w:themeColor="background1" w:val="single"/>
          <w:insideH w:space="0" w:sz="0" w:val="nil"/>
          <w:insideV w:space="0" w:sz="0" w:val="nil"/>
        </w:tcBorders>
        <w:shd w:color="auto" w:fill="006aff" w:themeFill="accent3" w:val="clear"/>
      </w:tcPr>
    </w:tblStylePr>
    <w:tblStylePr w:type="firstCol">
      <w:rPr>
        <w:b w:val="1"/>
        <w:bCs w:val="1"/>
        <w:color w:val="ffffff" w:themeColor="background1"/>
      </w:rPr>
      <w:tblPr/>
      <w:tcPr>
        <w:tcBorders>
          <w:top w:color="ffffff" w:space="0" w:sz="4" w:themeColor="background1" w:val="single"/>
          <w:left w:color="ffffff" w:space="0" w:sz="4" w:themeColor="background1" w:val="single"/>
          <w:bottom w:color="ffffff" w:space="0" w:sz="4" w:themeColor="background1" w:val="single"/>
          <w:insideV w:space="0" w:sz="0" w:val="nil"/>
        </w:tcBorders>
        <w:shd w:color="auto" w:fill="006aff" w:themeFill="accent3" w:val="clear"/>
      </w:tcPr>
    </w:tblStylePr>
    <w:tblStylePr w:type="lastCol">
      <w:rPr>
        <w:b w:val="1"/>
        <w:bCs w:val="1"/>
        <w:color w:val="ffffff" w:themeColor="background1"/>
      </w:rPr>
      <w:tblPr/>
      <w:tcPr>
        <w:tcBorders>
          <w:top w:color="ffffff" w:space="0" w:sz="4" w:themeColor="background1" w:val="single"/>
          <w:bottom w:color="ffffff" w:space="0" w:sz="4" w:themeColor="background1" w:val="single"/>
          <w:right w:color="ffffff" w:space="0" w:sz="4" w:themeColor="background1" w:val="single"/>
          <w:insideV w:space="0" w:sz="0" w:val="nil"/>
        </w:tcBorders>
        <w:shd w:color="auto" w:fill="006aff" w:themeFill="accent3" w:val="clear"/>
      </w:tcPr>
    </w:tblStylePr>
    <w:tblStylePr w:type="band1Vert">
      <w:tblPr/>
      <w:tcPr>
        <w:shd w:color="auto" w:fill="99c3ff" w:themeFill="accent3" w:themeFillTint="000066" w:val="clear"/>
      </w:tcPr>
    </w:tblStylePr>
    <w:tblStylePr w:type="band1Horz">
      <w:tblPr/>
      <w:tcPr>
        <w:shd w:color="auto" w:fill="99c3ff" w:themeFill="accent3" w:themeFillTint="000066" w:val="clear"/>
      </w:tcPr>
    </w:tblStylePr>
  </w:style>
  <w:style w:type="paragraph" w:styleId="CDC-Titre2" w:customStyle="1">
    <w:name w:val="CDC - Titre 2"/>
    <w:basedOn w:val="Titre2"/>
    <w:link w:val="CDC-Titre2Car"/>
    <w:qFormat w:val="1"/>
    <w:rsid w:val="00C54D62"/>
    <w:pPr>
      <w:numPr>
        <w:ilvl w:val="1"/>
        <w:numId w:val="16"/>
      </w:numPr>
      <w:spacing w:after="240" w:before="480"/>
    </w:pPr>
    <w:rPr>
      <w:rFonts w:ascii="Paris2024" w:hAnsi="Paris2024" w:cstheme="majorBidi"/>
    </w:rPr>
  </w:style>
  <w:style w:type="paragraph" w:styleId="CDC-Titre1" w:customStyle="1">
    <w:name w:val="CDC - Titre 1"/>
    <w:basedOn w:val="Titre1"/>
    <w:qFormat w:val="1"/>
    <w:rsid w:val="00C54D62"/>
    <w:pPr>
      <w:numPr>
        <w:numId w:val="16"/>
      </w:numPr>
      <w:tabs>
        <w:tab w:val="num" w:pos="360"/>
      </w:tabs>
      <w:spacing w:line="240" w:lineRule="auto"/>
    </w:pPr>
    <w:rPr>
      <w:rFonts w:ascii="Paris2024" w:hAnsi="Paris2024"/>
    </w:rPr>
  </w:style>
  <w:style w:type="character" w:styleId="CDC-Titre2Car" w:customStyle="1">
    <w:name w:val="CDC - Titre 2 Car"/>
    <w:basedOn w:val="Titre2Car"/>
    <w:link w:val="CDC-Titre2"/>
    <w:rsid w:val="00C54D62"/>
    <w:rPr>
      <w:rFonts w:ascii="Paris2024" w:hAnsi="Paris2024" w:cstheme="majorBidi" w:eastAsiaTheme="minorHAnsi"/>
      <w:b w:val="1"/>
      <w:bCs w:val="1"/>
      <w:caps w:val="1"/>
      <w:color w:val="000000" w:themeColor="text1"/>
      <w:spacing w:val="20"/>
      <w:sz w:val="28"/>
      <w:szCs w:val="28"/>
      <w:lang w:eastAsia="en-US"/>
    </w:rPr>
  </w:style>
  <w:style w:type="paragraph" w:styleId="CDC-Titre3" w:customStyle="1">
    <w:name w:val="CDC - Titre 3"/>
    <w:basedOn w:val="Titre3"/>
    <w:qFormat w:val="1"/>
    <w:rsid w:val="00C54D62"/>
    <w:pPr>
      <w:numPr>
        <w:numId w:val="16"/>
      </w:numPr>
      <w:tabs>
        <w:tab w:val="num" w:pos="360"/>
      </w:tabs>
    </w:pPr>
    <w:rPr>
      <w:rFonts w:ascii="Paris2024" w:hAnsi="Paris2024"/>
      <w:lang w:val="fr-FR"/>
    </w:rPr>
  </w:style>
  <w:style w:type="paragraph" w:styleId="CDC-Corpsdetexte" w:customStyle="1">
    <w:name w:val="CDC - Corps de texte"/>
    <w:basedOn w:val="Sansinterligne"/>
    <w:link w:val="CDC-CorpsdetexteCar"/>
    <w:qFormat w:val="1"/>
    <w:rsid w:val="00C54D62"/>
    <w:pPr>
      <w:spacing w:line="276" w:lineRule="auto"/>
    </w:pPr>
    <w:rPr>
      <w:rFonts w:ascii="Paris2024" w:hAnsi="Paris2024"/>
    </w:rPr>
  </w:style>
  <w:style w:type="character" w:styleId="CDC-CorpsdetexteCar" w:customStyle="1">
    <w:name w:val="CDC - Corps de texte Car"/>
    <w:basedOn w:val="Policepardfaut"/>
    <w:link w:val="CDC-Corpsdetexte"/>
    <w:rsid w:val="00C54D62"/>
    <w:rPr>
      <w:rFonts w:ascii="Paris2024" w:hAnsi="Paris2024" w:eastAsiaTheme="minorHAnsi"/>
      <w:color w:val="000000" w:themeColor="text1"/>
      <w:sz w:val="21"/>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115.0" w:type="dxa"/>
        <w:bottom w:w="0.0" w:type="dxa"/>
        <w:right w:w="115.0" w:type="dxa"/>
      </w:tblCellMar>
    </w:tblPr>
    <w:tcPr>
      <w:shd w:fill="cce1ff" w:val="clear"/>
    </w:tcPr>
    <w:tblStylePr w:type="band1Horz">
      <w:tcPr>
        <w:shd w:fill="99c3ff" w:val="clear"/>
      </w:tcPr>
    </w:tblStylePr>
    <w:tblStylePr w:type="band1Vert">
      <w:tcPr>
        <w:shd w:fill="99c3ff" w:val="clear"/>
      </w:tcPr>
    </w:tblStylePr>
    <w:tblStylePr w:type="firstCol">
      <w:rPr>
        <w:b w:val="1"/>
        <w:color w:val="ffffff"/>
      </w:rPr>
      <w:tcPr>
        <w:tcBorders>
          <w:top w:color="ffffff" w:space="0" w:sz="4" w:val="single"/>
          <w:left w:color="ffffff" w:space="0" w:sz="4" w:val="single"/>
          <w:bottom w:color="ffffff" w:space="0" w:sz="4" w:val="single"/>
          <w:insideV w:color="000000" w:space="0" w:sz="0" w:val="nil"/>
        </w:tcBorders>
        <w:shd w:fill="006aff" w:val="clear"/>
      </w:tcPr>
    </w:tblStylePr>
    <w:tblStylePr w:type="firstRow">
      <w:rPr>
        <w:b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006aff" w:val="clear"/>
      </w:tcPr>
    </w:tblStylePr>
    <w:tblStylePr w:type="lastCol">
      <w:rPr>
        <w:b w:val="1"/>
        <w:color w:val="ffffff"/>
      </w:rPr>
      <w:tcPr>
        <w:tcBorders>
          <w:top w:color="ffffff" w:space="0" w:sz="4" w:val="single"/>
          <w:bottom w:color="ffffff" w:space="0" w:sz="4" w:val="single"/>
          <w:right w:color="ffffff" w:space="0" w:sz="4" w:val="single"/>
          <w:insideV w:color="000000" w:space="0" w:sz="0" w:val="nil"/>
        </w:tcBorders>
        <w:shd w:fill="006aff" w:val="clear"/>
      </w:tcPr>
    </w:tblStylePr>
    <w:tblStylePr w:type="lastRow">
      <w:rPr>
        <w:b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006aff" w:val="clear"/>
      </w:tcPr>
    </w:tblStylePr>
  </w:style>
  <w:style w:type="table" w:styleId="Table5">
    <w:basedOn w:val="TableNormal"/>
    <w:tblPr>
      <w:tblStyleRowBandSize w:val="1"/>
      <w:tblStyleColBandSize w:val="1"/>
      <w:tblCellMar>
        <w:top w:w="15.0" w:type="dxa"/>
        <w:left w:w="70.0" w:type="dxa"/>
        <w:bottom w:w="0.0" w:type="dxa"/>
        <w:right w:w="70.0" w:type="dxa"/>
      </w:tblCellMar>
    </w:tblPr>
  </w:style>
  <w:style w:type="table" w:styleId="Table6">
    <w:basedOn w:val="TableNormal"/>
    <w:tblPr>
      <w:tblStyleRowBandSize w:val="1"/>
      <w:tblStyleColBandSize w:val="1"/>
      <w:tblCellMar>
        <w:top w:w="15.0" w:type="dxa"/>
        <w:left w:w="70.0" w:type="dxa"/>
        <w:bottom w:w="0.0" w:type="dxa"/>
        <w:right w:w="70.0" w:type="dxa"/>
      </w:tblCellMar>
    </w:tblPr>
  </w:style>
  <w:style w:type="table" w:styleId="Table7">
    <w:basedOn w:val="TableNormal"/>
    <w:tblPr>
      <w:tblStyleRowBandSize w:val="1"/>
      <w:tblStyleColBandSize w:val="1"/>
      <w:tblCellMar>
        <w:top w:w="0.0" w:type="dxa"/>
        <w:left w:w="0.0" w:type="dxa"/>
        <w:bottom w:w="0.0" w:type="dxa"/>
        <w:right w:w="0.0" w:type="dxa"/>
      </w:tblCellMar>
    </w:tblPr>
    <w:tcPr>
      <w:shd w:fill="cce1ff" w:val="clear"/>
    </w:tcPr>
  </w:style>
</w:styles>
</file>

<file path=word/_rels/document.xml.rels><?xml version="1.0" encoding="UTF-8" standalone="yes"?>
<Relationships xmlns="http://schemas.openxmlformats.org/package/2006/relationships"><Relationship Id="rId13" Type="http://schemas.openxmlformats.org/officeDocument/2006/relationships/header" Target="header2.xml"/><Relationship Id="rId8" Type="http://schemas.microsoft.com/office/2011/relationships/commentsExtended" Target="commentsExtended.xml"/><Relationship Id="rId18"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oter" Target="footer2.xml"/><Relationship Id="rId7" Type="http://schemas.openxmlformats.org/officeDocument/2006/relationships/customXml" Target="../customXML/item1.xml"/><Relationship Id="rId2" Type="http://schemas.openxmlformats.org/officeDocument/2006/relationships/comments" Target="comments.xml"/><Relationship Id="rId16" Type="http://schemas.openxmlformats.org/officeDocument/2006/relationships/footer" Target="footer3.xml"/><Relationship Id="rId20" Type="http://schemas.openxmlformats.org/officeDocument/2006/relationships/customXml" Target="../customXML/item4.xml"/><Relationship Id="rId11" Type="http://schemas.openxmlformats.org/officeDocument/2006/relationships/image" Target="media/image3.png"/><Relationship Id="rId1" Type="http://schemas.openxmlformats.org/officeDocument/2006/relationships/theme" Target="theme/theme1.xml"/><Relationship Id="rId6" Type="http://schemas.openxmlformats.org/officeDocument/2006/relationships/styles" Target="styles.xml"/><Relationship Id="rId15"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image" Target="media/image1.png"/><Relationship Id="rId19" Type="http://schemas.openxmlformats.org/officeDocument/2006/relationships/customXml" Target="../customXML/item3.xml"/><Relationship Id="rId4" Type="http://schemas.openxmlformats.org/officeDocument/2006/relationships/fontTable" Target="fontTable.xml"/><Relationship Id="rId9" Type="http://schemas.openxmlformats.org/officeDocument/2006/relationships/image" Target="media/image2.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ArialBlack-regular.ttf"/><Relationship Id="rId8" Type="http://schemas.openxmlformats.org/officeDocument/2006/relationships/font" Target="fonts/CambriaMath-regular.ttf"/></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image" Target="media/image7.png"/><Relationship Id="rId3"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6.png"/></Relationships>
</file>

<file path=word/theme/theme1.xml><?xml version="1.0" encoding="utf-8"?>
<a:theme xmlns:a="http://schemas.openxmlformats.org/drawingml/2006/main" name="Paris2024-Word">
  <a:themeElements>
    <a:clrScheme name="Paris 2024_New 2020">
      <a:dk1>
        <a:srgbClr val="000000"/>
      </a:dk1>
      <a:lt1>
        <a:srgbClr val="FFFFFF"/>
      </a:lt1>
      <a:dk2>
        <a:srgbClr val="F7B900"/>
      </a:dk2>
      <a:lt2>
        <a:srgbClr val="D6C377"/>
      </a:lt2>
      <a:accent1>
        <a:srgbClr val="00B35F"/>
      </a:accent1>
      <a:accent2>
        <a:srgbClr val="17B7B0"/>
      </a:accent2>
      <a:accent3>
        <a:srgbClr val="006AFF"/>
      </a:accent3>
      <a:accent4>
        <a:srgbClr val="7872F3"/>
      </a:accent4>
      <a:accent5>
        <a:srgbClr val="FF0042"/>
      </a:accent5>
      <a:accent6>
        <a:srgbClr val="FF5756"/>
      </a:accent6>
      <a:hlink>
        <a:srgbClr val="F9B900"/>
      </a:hlink>
      <a:folHlink>
        <a:srgbClr val="FAB900"/>
      </a:folHlink>
    </a:clrScheme>
    <a:fontScheme name="Paris2024">
      <a:majorFont>
        <a:latin typeface="Paris2024"/>
        <a:ea typeface=""/>
        <a:cs typeface=""/>
      </a:majorFont>
      <a:minorFont>
        <a:latin typeface="Source Sans Pr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lIns="0" rIns="0" rtlCol="0" anchor="ctr"/>
      <a:lstStyle>
        <a:defPPr algn="ctr">
          <a:defRPr b="1" dirty="0" smtClean="0">
            <a:latin typeface="Source Sans Pro" panose="020B0503030403020204" pitchFamily="34" charset="77"/>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rIns="0" rtlCol="0">
        <a:spAutoFit/>
      </a:bodyPr>
      <a:lstStyle>
        <a:defPPr algn="l">
          <a:defRPr sz="1600" b="0" i="0" dirty="0" err="1" smtClean="0">
            <a:latin typeface="Source Sans Pro Light" panose="020B0403030403020204" pitchFamily="34" charset="77"/>
          </a:defRPr>
        </a:defPPr>
      </a:lstStyle>
    </a:txDef>
  </a:objectDefaults>
  <a:extraClrSchemeLst/>
  <a:extLst>
    <a:ext uri="{05A4C25C-085E-4340-85A3-A5531E510DB2}">
      <thm15:themeFamily xmlns:thm15="http://schemas.microsoft.com/office/thememl/2012/main" name="Paris2024" id="{34EE10A4-C1E9-2440-A3FC-4E004E7F10B3}" vid="{888AF2B0-4BA4-D746-A14E-F3E6B94C557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V4fVpen81Z5nKB3ryJDBO/SgMQ==">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CWguNDFtZ2htbDIJaC4yZ3JxcnVlMghoLnZ4MTIyNzIJaC4zZndva3EwMgloLjF2MXl1eHQyCWguNGYxbWRsbTgAciExT0lwVU9HT2xYTDhKMkt1T1BPOUFKVjFCWHVvSzVkVEU=</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4104CF7C34FEE4292B7EA50B98795FB" ma:contentTypeVersion="18" ma:contentTypeDescription="Crée un document." ma:contentTypeScope="" ma:versionID="aaacee045de86077fccb955f2c01bb93">
  <xsd:schema xmlns:xsd="http://www.w3.org/2001/XMLSchema" xmlns:xs="http://www.w3.org/2001/XMLSchema" xmlns:p="http://schemas.microsoft.com/office/2006/metadata/properties" xmlns:ns2="e3477bb5-ca78-41f2-8834-0bbb996f8030" xmlns:ns3="d0be26eb-e3dc-4a79-bfaf-61dbbeb7c277" targetNamespace="http://schemas.microsoft.com/office/2006/metadata/properties" ma:root="true" ma:fieldsID="a1e3c1bcc231f88e9581f64fb2265f38" ns2:_="" ns3:_="">
    <xsd:import namespace="e3477bb5-ca78-41f2-8834-0bbb996f8030"/>
    <xsd:import namespace="d0be26eb-e3dc-4a79-bfaf-61dbbeb7c27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77bb5-ca78-41f2-8834-0bbb996f8030"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ad491d-fa7b-441f-ba34-145f2cd761c9}" ma:internalName="TaxCatchAll" ma:showField="CatchAllData" ma:web="e3477bb5-ca78-41f2-8834-0bbb996f80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be26eb-e3dc-4a79-bfaf-61dbbeb7c27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e8d73878-f191-4361-bf8c-d9eeb485ca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be26eb-e3dc-4a79-bfaf-61dbbeb7c277">
      <Terms xmlns="http://schemas.microsoft.com/office/infopath/2007/PartnerControls"/>
    </lcf76f155ced4ddcb4097134ff3c332f>
    <TaxCatchAll xmlns="e3477bb5-ca78-41f2-8834-0bbb996f8030"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35A45C4-6F57-47CC-A518-347A39095676}"/>
</file>

<file path=customXML/itemProps3.xml><?xml version="1.0" encoding="utf-8"?>
<ds:datastoreItem xmlns:ds="http://schemas.openxmlformats.org/officeDocument/2006/customXml" ds:itemID="{F4E8F064-305F-4F51-B2EC-0F2CE336DAA6}"/>
</file>

<file path=customXML/itemProps4.xml><?xml version="1.0" encoding="utf-8"?>
<ds:datastoreItem xmlns:ds="http://schemas.openxmlformats.org/officeDocument/2006/customXml" ds:itemID="{FC7F43BD-B5A6-4C6C-ACE5-AC9A655E29C3}"/>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AMansour@paris2024.org;SAubry@paris2024.org</dc:creator>
  <dcterms:created xsi:type="dcterms:W3CDTF">2023-09-26T17:24:00Z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0x01010034104CF7C34FEE4292B7EA50B98795FB</vt:lpwstr>
  </property>
  <property fmtid="{D5CDD505-2E9C-101B-9397-08002B2CF9AE}" pid="3" name="Order">
    <vt:r8>4800</vt:r8>
  </property>
  <property fmtid="{D5CDD505-2E9C-101B-9397-08002B2CF9AE}" pid="4" name="MediaServiceImageTags">
    <vt:lpwstr/>
  </property>
  <property fmtid="{D5CDD505-2E9C-101B-9397-08002B2CF9AE}" pid="5" name="xd_ProgID">
    <vt:lpwstr/>
  </property>
  <property fmtid="{D5CDD505-2E9C-101B-9397-08002B2CF9AE}" pid="6" name="_ColorH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_ColorTag">
    <vt:lpwstr/>
  </property>
  <property fmtid="{D5CDD505-2E9C-101B-9397-08002B2CF9AE}" pid="11" name="TriggerFlowInfo">
    <vt:lpwstr/>
  </property>
  <property fmtid="{D5CDD505-2E9C-101B-9397-08002B2CF9AE}" pid="12" name="xd_Signature">
    <vt:lpwstr/>
  </property>
  <property fmtid="{D5CDD505-2E9C-101B-9397-08002B2CF9AE}" pid="13" name="_Emoji">
    <vt:lpwstr/>
  </property>
  <property fmtid="{D5CDD505-2E9C-101B-9397-08002B2CF9AE}" pid="14" name="MSIP_Label_fa0a176c-03b7-4548-a138-f385fded9173_Enabled">
    <vt:lpwstr>true</vt:lpwstr>
  </property>
  <property fmtid="{D5CDD505-2E9C-101B-9397-08002B2CF9AE}" pid="15" name="MSIP_Label_fa0a176c-03b7-4548-a138-f385fded9173_SetDate">
    <vt:lpwstr>2023-06-09T06:40:21Z</vt:lpwstr>
  </property>
  <property fmtid="{D5CDD505-2E9C-101B-9397-08002B2CF9AE}" pid="16" name="MSIP_Label_fa0a176c-03b7-4548-a138-f385fded9173_Method">
    <vt:lpwstr>Privileged</vt:lpwstr>
  </property>
  <property fmtid="{D5CDD505-2E9C-101B-9397-08002B2CF9AE}" pid="17" name="MSIP_Label_fa0a176c-03b7-4548-a138-f385fded9173_Name">
    <vt:lpwstr>INTERNAL</vt:lpwstr>
  </property>
  <property fmtid="{D5CDD505-2E9C-101B-9397-08002B2CF9AE}" pid="18" name="MSIP_Label_fa0a176c-03b7-4548-a138-f385fded9173_SiteId">
    <vt:lpwstr>c09ce228-0328-4790-badb-51649a00a51c</vt:lpwstr>
  </property>
  <property fmtid="{D5CDD505-2E9C-101B-9397-08002B2CF9AE}" pid="19" name="MSIP_Label_fa0a176c-03b7-4548-a138-f385fded9173_ActionId">
    <vt:lpwstr>ce4a49d4-a34b-43ec-8010-b49c2232101e</vt:lpwstr>
  </property>
  <property fmtid="{D5CDD505-2E9C-101B-9397-08002B2CF9AE}" pid="20" name="MSIP_Label_fa0a176c-03b7-4548-a138-f385fded9173_ContentBits">
    <vt:lpwstr>3</vt:lpwstr>
  </property>
</Properties>
</file>